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C8FED" w14:textId="51D050F2" w:rsidR="005D1EAF" w:rsidRPr="00BC06F1" w:rsidRDefault="005D1EAF" w:rsidP="005D1EAF">
      <w:pPr>
        <w:pStyle w:val="Pripombabesedilo"/>
        <w:jc w:val="center"/>
        <w:rPr>
          <w:rFonts w:cs="Times New Roman"/>
          <w:b/>
          <w:sz w:val="22"/>
          <w:szCs w:val="22"/>
        </w:rPr>
      </w:pPr>
      <w:r w:rsidRPr="00BC06F1">
        <w:rPr>
          <w:rFonts w:cs="Times New Roman"/>
          <w:b/>
          <w:sz w:val="22"/>
          <w:szCs w:val="22"/>
        </w:rPr>
        <w:t>Inštitut za proučevanje enakosti spolov</w:t>
      </w:r>
    </w:p>
    <w:p w14:paraId="3FBE4295" w14:textId="77777777" w:rsidR="005D1EAF" w:rsidRPr="00BC06F1" w:rsidRDefault="005D1EAF" w:rsidP="005D1EAF">
      <w:pPr>
        <w:pStyle w:val="Pripombabesedilo"/>
        <w:jc w:val="center"/>
        <w:rPr>
          <w:rFonts w:cs="Times New Roman"/>
          <w:b/>
          <w:sz w:val="22"/>
          <w:szCs w:val="22"/>
        </w:rPr>
      </w:pPr>
    </w:p>
    <w:p w14:paraId="3ADA3B5C" w14:textId="708FA596" w:rsidR="005D1EAF" w:rsidRPr="00BC06F1" w:rsidRDefault="005D1EAF" w:rsidP="005D1EAF">
      <w:pPr>
        <w:pStyle w:val="Pripombabesedilo"/>
        <w:jc w:val="center"/>
        <w:rPr>
          <w:rFonts w:cs="Times New Roman"/>
          <w:b/>
          <w:sz w:val="22"/>
          <w:szCs w:val="22"/>
        </w:rPr>
      </w:pPr>
      <w:r w:rsidRPr="00BC06F1">
        <w:rPr>
          <w:rFonts w:cs="Times New Roman"/>
          <w:b/>
          <w:sz w:val="22"/>
          <w:szCs w:val="22"/>
        </w:rPr>
        <w:t>ENAKOST SPOLOV NA SLOVENSKEM POLITIČNEM PARKETU</w:t>
      </w:r>
    </w:p>
    <w:p w14:paraId="5D18C445" w14:textId="3CD828CD" w:rsidR="009B2967" w:rsidRPr="00BC06F1" w:rsidRDefault="005D1EAF" w:rsidP="005D1EAF">
      <w:pPr>
        <w:jc w:val="center"/>
        <w:rPr>
          <w:rFonts w:cs="Times New Roman"/>
          <w:b/>
          <w:sz w:val="22"/>
        </w:rPr>
      </w:pPr>
      <w:r w:rsidRPr="00BC06F1">
        <w:rPr>
          <w:rFonts w:cs="Times New Roman"/>
          <w:b/>
          <w:sz w:val="22"/>
        </w:rPr>
        <w:t>Volitve 2018: raziskava o enakosti spolov v politiki</w:t>
      </w:r>
    </w:p>
    <w:p w14:paraId="0585148C" w14:textId="3796695C" w:rsidR="004D0E2B" w:rsidRPr="00BC06F1" w:rsidRDefault="004D0E2B">
      <w:pPr>
        <w:rPr>
          <w:rFonts w:cs="Times New Roman"/>
          <w:sz w:val="22"/>
        </w:rPr>
      </w:pPr>
    </w:p>
    <w:p w14:paraId="5D71E3DF" w14:textId="6AF2098A" w:rsidR="008C44CA" w:rsidRPr="00BC06F1" w:rsidRDefault="004D0E2B">
      <w:pPr>
        <w:rPr>
          <w:rFonts w:cs="Times New Roman"/>
          <w:sz w:val="22"/>
        </w:rPr>
      </w:pPr>
      <w:r w:rsidRPr="00BC06F1">
        <w:rPr>
          <w:rFonts w:cs="Times New Roman"/>
          <w:sz w:val="22"/>
        </w:rPr>
        <w:t xml:space="preserve">Za potrebe </w:t>
      </w:r>
      <w:r w:rsidR="004E2BDF">
        <w:rPr>
          <w:rFonts w:cs="Times New Roman"/>
          <w:sz w:val="22"/>
        </w:rPr>
        <w:t>neodvisne raziskave o enakosti spolov na slovenskem političnem parketu</w:t>
      </w:r>
      <w:bookmarkStart w:id="0" w:name="_GoBack"/>
      <w:bookmarkEnd w:id="0"/>
      <w:r w:rsidRPr="00BC06F1">
        <w:rPr>
          <w:rFonts w:cs="Times New Roman"/>
          <w:sz w:val="22"/>
        </w:rPr>
        <w:t xml:space="preserve"> smo vse politične stranke, ki jim je javnomnenjska anketa agencije Delo stik med 29. marcem in 5. aprilom pokazala več kot 1</w:t>
      </w:r>
      <w:r w:rsidR="00966D23">
        <w:rPr>
          <w:rFonts w:cs="Times New Roman"/>
          <w:sz w:val="22"/>
        </w:rPr>
        <w:t xml:space="preserve"> odstotek</w:t>
      </w:r>
      <w:r w:rsidRPr="00BC06F1">
        <w:rPr>
          <w:rFonts w:cs="Times New Roman"/>
          <w:sz w:val="22"/>
        </w:rPr>
        <w:t xml:space="preserve"> glasov na volitvah, povprašali o njihov</w:t>
      </w:r>
      <w:r w:rsidR="00966D23">
        <w:rPr>
          <w:rFonts w:cs="Times New Roman"/>
          <w:sz w:val="22"/>
        </w:rPr>
        <w:t xml:space="preserve">em razumevanju </w:t>
      </w:r>
      <w:r w:rsidRPr="00BC06F1">
        <w:rPr>
          <w:rFonts w:cs="Times New Roman"/>
          <w:sz w:val="22"/>
        </w:rPr>
        <w:t xml:space="preserve">enakosti spolov v Sloveniji. Vsem smo zastavili </w:t>
      </w:r>
      <w:r w:rsidR="00966D23">
        <w:rPr>
          <w:rFonts w:cs="Times New Roman"/>
          <w:sz w:val="22"/>
        </w:rPr>
        <w:t>samo</w:t>
      </w:r>
      <w:r w:rsidR="00372634" w:rsidRPr="00BC06F1">
        <w:rPr>
          <w:rFonts w:cs="Times New Roman"/>
          <w:sz w:val="22"/>
        </w:rPr>
        <w:t xml:space="preserve"> </w:t>
      </w:r>
      <w:r w:rsidRPr="00BC06F1">
        <w:rPr>
          <w:rFonts w:cs="Times New Roman"/>
          <w:sz w:val="22"/>
        </w:rPr>
        <w:t>tr</w:t>
      </w:r>
      <w:r w:rsidR="00372634" w:rsidRPr="00BC06F1">
        <w:rPr>
          <w:rFonts w:cs="Times New Roman"/>
          <w:sz w:val="22"/>
        </w:rPr>
        <w:t>i</w:t>
      </w:r>
      <w:r w:rsidRPr="00BC06F1">
        <w:rPr>
          <w:rFonts w:cs="Times New Roman"/>
          <w:sz w:val="22"/>
        </w:rPr>
        <w:t xml:space="preserve"> vprašanj</w:t>
      </w:r>
      <w:r w:rsidR="00372634" w:rsidRPr="00BC06F1">
        <w:rPr>
          <w:rFonts w:cs="Times New Roman"/>
          <w:sz w:val="22"/>
        </w:rPr>
        <w:t>a</w:t>
      </w:r>
      <w:r w:rsidR="00182C4D">
        <w:rPr>
          <w:rStyle w:val="Sprotnaopomba-sklic"/>
          <w:rFonts w:cs="Times New Roman"/>
          <w:sz w:val="22"/>
        </w:rPr>
        <w:footnoteReference w:id="1"/>
      </w:r>
      <w:r w:rsidRPr="00BC06F1">
        <w:rPr>
          <w:rFonts w:cs="Times New Roman"/>
          <w:sz w:val="22"/>
        </w:rPr>
        <w:t>:</w:t>
      </w:r>
    </w:p>
    <w:p w14:paraId="753FD7DF" w14:textId="77777777" w:rsidR="004D0E2B" w:rsidRPr="00BC06F1" w:rsidRDefault="004D0E2B">
      <w:pPr>
        <w:rPr>
          <w:rFonts w:cs="Times New Roman"/>
          <w:b/>
          <w:sz w:val="22"/>
        </w:rPr>
      </w:pPr>
    </w:p>
    <w:p w14:paraId="2D497B80" w14:textId="77777777" w:rsidR="004D0E2B" w:rsidRPr="00BC06F1" w:rsidRDefault="004D0E2B" w:rsidP="004D0E2B">
      <w:pPr>
        <w:pStyle w:val="Odstavekseznama"/>
        <w:numPr>
          <w:ilvl w:val="0"/>
          <w:numId w:val="1"/>
        </w:numPr>
        <w:rPr>
          <w:rFonts w:cs="Times New Roman"/>
          <w:b/>
          <w:sz w:val="22"/>
        </w:rPr>
      </w:pPr>
      <w:r w:rsidRPr="00BC06F1">
        <w:rPr>
          <w:rFonts w:cs="Times New Roman"/>
          <w:b/>
          <w:sz w:val="22"/>
        </w:rPr>
        <w:t>Kaj razumete pod pojmom enakost spolov?</w:t>
      </w:r>
    </w:p>
    <w:p w14:paraId="7713B025" w14:textId="77777777" w:rsidR="004D0E2B" w:rsidRPr="00BC06F1" w:rsidRDefault="004D0E2B" w:rsidP="004D0E2B">
      <w:pPr>
        <w:pStyle w:val="Odstavekseznama"/>
        <w:numPr>
          <w:ilvl w:val="0"/>
          <w:numId w:val="1"/>
        </w:numPr>
        <w:rPr>
          <w:rFonts w:cs="Times New Roman"/>
          <w:b/>
          <w:sz w:val="22"/>
        </w:rPr>
      </w:pPr>
      <w:r w:rsidRPr="00BC06F1">
        <w:rPr>
          <w:rFonts w:cs="Times New Roman"/>
          <w:b/>
          <w:sz w:val="22"/>
        </w:rPr>
        <w:t xml:space="preserve">Ali se vam zdi, da je v Sloveniji za enakost spolov </w:t>
      </w:r>
      <w:r w:rsidR="000D766E" w:rsidRPr="00BC06F1">
        <w:rPr>
          <w:rFonts w:cs="Times New Roman"/>
          <w:b/>
          <w:sz w:val="22"/>
        </w:rPr>
        <w:t>ustrezno</w:t>
      </w:r>
      <w:r w:rsidRPr="00BC06F1">
        <w:rPr>
          <w:rFonts w:cs="Times New Roman"/>
          <w:b/>
          <w:sz w:val="22"/>
        </w:rPr>
        <w:t xml:space="preserve"> poskrbljeno?</w:t>
      </w:r>
    </w:p>
    <w:p w14:paraId="495962B1" w14:textId="77777777" w:rsidR="004D0E2B" w:rsidRPr="00BC06F1" w:rsidRDefault="004D0E2B" w:rsidP="004D0E2B">
      <w:pPr>
        <w:pStyle w:val="Odstavekseznama"/>
        <w:numPr>
          <w:ilvl w:val="0"/>
          <w:numId w:val="1"/>
        </w:numPr>
        <w:rPr>
          <w:rFonts w:cs="Times New Roman"/>
          <w:b/>
          <w:sz w:val="22"/>
        </w:rPr>
      </w:pPr>
      <w:r w:rsidRPr="00BC06F1">
        <w:rPr>
          <w:rFonts w:cs="Times New Roman"/>
          <w:b/>
          <w:sz w:val="22"/>
        </w:rPr>
        <w:t>Za kakšne ukrepe na področju zagotavljanja enakosti spolov in enakih možnosti žensk in moških bi si prizadevali v Državnem zboru?</w:t>
      </w:r>
    </w:p>
    <w:p w14:paraId="64CD0E15" w14:textId="6B99F1CA" w:rsidR="00FF7D6D" w:rsidRPr="00BC06F1" w:rsidRDefault="00FF7D6D" w:rsidP="004D0E2B">
      <w:pPr>
        <w:rPr>
          <w:rFonts w:cs="Times New Roman"/>
          <w:sz w:val="22"/>
        </w:rPr>
      </w:pPr>
    </w:p>
    <w:p w14:paraId="29A21DF0" w14:textId="70258B4B" w:rsidR="00A36843" w:rsidRDefault="00FF7D6D" w:rsidP="004D0E2B">
      <w:pPr>
        <w:rPr>
          <w:rFonts w:cs="Times New Roman"/>
          <w:sz w:val="22"/>
        </w:rPr>
      </w:pPr>
      <w:r w:rsidRPr="00BC06F1">
        <w:rPr>
          <w:rFonts w:cs="Times New Roman"/>
          <w:sz w:val="22"/>
        </w:rPr>
        <w:t>Že pri prvem vprašanju</w:t>
      </w:r>
      <w:r w:rsidR="00294831" w:rsidRPr="00BC06F1">
        <w:rPr>
          <w:rFonts w:cs="Times New Roman"/>
          <w:sz w:val="22"/>
        </w:rPr>
        <w:t xml:space="preserve"> (</w:t>
      </w:r>
      <w:r w:rsidR="00294831" w:rsidRPr="00BC06F1">
        <w:rPr>
          <w:rFonts w:cs="Times New Roman"/>
          <w:b/>
          <w:sz w:val="22"/>
        </w:rPr>
        <w:t>Kaj razumete pod pojmom enakost spolov</w:t>
      </w:r>
      <w:r w:rsidR="006E1910" w:rsidRPr="00BC06F1">
        <w:rPr>
          <w:rFonts w:cs="Times New Roman"/>
          <w:b/>
          <w:sz w:val="22"/>
        </w:rPr>
        <w:t>?</w:t>
      </w:r>
      <w:r w:rsidR="00294831" w:rsidRPr="00BC06F1">
        <w:rPr>
          <w:rFonts w:cs="Times New Roman"/>
          <w:sz w:val="22"/>
        </w:rPr>
        <w:t>)</w:t>
      </w:r>
      <w:r w:rsidRPr="00BC06F1">
        <w:rPr>
          <w:rFonts w:cs="Times New Roman"/>
          <w:sz w:val="22"/>
        </w:rPr>
        <w:t xml:space="preserve"> </w:t>
      </w:r>
      <w:r w:rsidR="00294831" w:rsidRPr="00BC06F1">
        <w:rPr>
          <w:rFonts w:cs="Times New Roman"/>
          <w:sz w:val="22"/>
        </w:rPr>
        <w:t xml:space="preserve">so iz podanih odgovorov očitne precejšne </w:t>
      </w:r>
      <w:r w:rsidRPr="00BC06F1">
        <w:rPr>
          <w:rFonts w:cs="Times New Roman"/>
          <w:sz w:val="22"/>
        </w:rPr>
        <w:t>razlik</w:t>
      </w:r>
      <w:r w:rsidR="00372634" w:rsidRPr="00BC06F1">
        <w:rPr>
          <w:rFonts w:cs="Times New Roman"/>
          <w:sz w:val="22"/>
        </w:rPr>
        <w:t xml:space="preserve">e. </w:t>
      </w:r>
      <w:r w:rsidRPr="00BC06F1">
        <w:rPr>
          <w:rFonts w:cs="Times New Roman"/>
          <w:sz w:val="22"/>
        </w:rPr>
        <w:t xml:space="preserve"> Medtem, ko si SAB, SD, Solidarnost, </w:t>
      </w:r>
      <w:r w:rsidR="0048429C" w:rsidRPr="00BC06F1">
        <w:rPr>
          <w:rFonts w:cs="Times New Roman"/>
          <w:sz w:val="22"/>
        </w:rPr>
        <w:t xml:space="preserve">LMŠ, </w:t>
      </w:r>
      <w:r w:rsidRPr="00BC06F1">
        <w:rPr>
          <w:rFonts w:cs="Times New Roman"/>
          <w:sz w:val="22"/>
        </w:rPr>
        <w:t xml:space="preserve">Levica in LAČiZS pri opredeljevanju enakosti spolov </w:t>
      </w:r>
      <w:r w:rsidR="00294831" w:rsidRPr="00BC06F1">
        <w:rPr>
          <w:rFonts w:cs="Times New Roman"/>
          <w:sz w:val="22"/>
        </w:rPr>
        <w:t xml:space="preserve">pretežno </w:t>
      </w:r>
      <w:r w:rsidRPr="00BC06F1">
        <w:rPr>
          <w:rFonts w:cs="Times New Roman"/>
          <w:sz w:val="22"/>
        </w:rPr>
        <w:t xml:space="preserve">pomagajo z besednimi zvezami </w:t>
      </w:r>
      <w:r w:rsidR="00294831" w:rsidRPr="00BC06F1">
        <w:rPr>
          <w:rFonts w:cs="Times New Roman"/>
          <w:sz w:val="22"/>
        </w:rPr>
        <w:t>'</w:t>
      </w:r>
      <w:r w:rsidRPr="00BC06F1">
        <w:rPr>
          <w:rFonts w:cs="Times New Roman"/>
          <w:sz w:val="22"/>
        </w:rPr>
        <w:t>enaka obravnava</w:t>
      </w:r>
      <w:r w:rsidR="00294831" w:rsidRPr="00BC06F1">
        <w:rPr>
          <w:rFonts w:cs="Times New Roman"/>
          <w:sz w:val="22"/>
        </w:rPr>
        <w:t>'</w:t>
      </w:r>
      <w:r w:rsidR="0048429C" w:rsidRPr="00BC06F1">
        <w:rPr>
          <w:rFonts w:cs="Times New Roman"/>
          <w:sz w:val="22"/>
        </w:rPr>
        <w:t xml:space="preserve">, </w:t>
      </w:r>
      <w:r w:rsidR="00294831" w:rsidRPr="00BC06F1">
        <w:rPr>
          <w:rFonts w:cs="Times New Roman"/>
          <w:sz w:val="22"/>
        </w:rPr>
        <w:t>'</w:t>
      </w:r>
      <w:r w:rsidR="0048429C" w:rsidRPr="00BC06F1">
        <w:rPr>
          <w:rFonts w:cs="Times New Roman"/>
          <w:sz w:val="22"/>
        </w:rPr>
        <w:t>dejanska enakost</w:t>
      </w:r>
      <w:r w:rsidR="00294831" w:rsidRPr="00BC06F1">
        <w:rPr>
          <w:rFonts w:cs="Times New Roman"/>
          <w:sz w:val="22"/>
        </w:rPr>
        <w:t>'</w:t>
      </w:r>
      <w:r w:rsidRPr="00BC06F1">
        <w:rPr>
          <w:rFonts w:cs="Times New Roman"/>
          <w:sz w:val="22"/>
        </w:rPr>
        <w:t xml:space="preserve"> in </w:t>
      </w:r>
      <w:r w:rsidR="00294831" w:rsidRPr="00BC06F1">
        <w:rPr>
          <w:rFonts w:cs="Times New Roman"/>
          <w:sz w:val="22"/>
        </w:rPr>
        <w:t>'</w:t>
      </w:r>
      <w:r w:rsidRPr="00BC06F1">
        <w:rPr>
          <w:rFonts w:cs="Times New Roman"/>
          <w:sz w:val="22"/>
        </w:rPr>
        <w:t>enake možnosti</w:t>
      </w:r>
      <w:r w:rsidR="00294831" w:rsidRPr="00BC06F1">
        <w:rPr>
          <w:rFonts w:cs="Times New Roman"/>
          <w:sz w:val="22"/>
        </w:rPr>
        <w:t>'</w:t>
      </w:r>
      <w:r w:rsidRPr="00BC06F1">
        <w:rPr>
          <w:rFonts w:cs="Times New Roman"/>
          <w:sz w:val="22"/>
        </w:rPr>
        <w:t xml:space="preserve">, na strani NSi, SLS in Zedinjene Slovenije </w:t>
      </w:r>
      <w:r w:rsidR="00294831" w:rsidRPr="00BC06F1">
        <w:rPr>
          <w:rFonts w:cs="Times New Roman"/>
          <w:sz w:val="22"/>
        </w:rPr>
        <w:t xml:space="preserve">v večji meri </w:t>
      </w:r>
      <w:r w:rsidRPr="00BC06F1">
        <w:rPr>
          <w:rFonts w:cs="Times New Roman"/>
          <w:sz w:val="22"/>
        </w:rPr>
        <w:t xml:space="preserve">zaznamo sklicevanje na </w:t>
      </w:r>
      <w:r w:rsidR="00294831" w:rsidRPr="00BC06F1">
        <w:rPr>
          <w:rFonts w:cs="Times New Roman"/>
          <w:sz w:val="22"/>
        </w:rPr>
        <w:t>'</w:t>
      </w:r>
      <w:r w:rsidRPr="00BC06F1">
        <w:rPr>
          <w:rFonts w:cs="Times New Roman"/>
          <w:sz w:val="22"/>
        </w:rPr>
        <w:t>enakopravnost</w:t>
      </w:r>
      <w:r w:rsidR="00294831" w:rsidRPr="00BC06F1">
        <w:rPr>
          <w:rFonts w:cs="Times New Roman"/>
          <w:sz w:val="22"/>
        </w:rPr>
        <w:t>'</w:t>
      </w:r>
      <w:r w:rsidRPr="00BC06F1">
        <w:rPr>
          <w:rFonts w:cs="Times New Roman"/>
          <w:sz w:val="22"/>
        </w:rPr>
        <w:t xml:space="preserve">. </w:t>
      </w:r>
    </w:p>
    <w:p w14:paraId="6B5DB135" w14:textId="77777777" w:rsidR="00BC06F1" w:rsidRPr="00BC06F1" w:rsidRDefault="00BC06F1" w:rsidP="004D0E2B">
      <w:pPr>
        <w:rPr>
          <w:rFonts w:cs="Times New Roman"/>
          <w:sz w:val="22"/>
        </w:rPr>
      </w:pPr>
    </w:p>
    <w:p w14:paraId="398DBDBD" w14:textId="1DF8FC54" w:rsidR="007925FF" w:rsidRPr="00BC06F1" w:rsidRDefault="00372634" w:rsidP="004D0E2B">
      <w:pPr>
        <w:rPr>
          <w:rFonts w:cs="Times New Roman"/>
          <w:color w:val="626161"/>
          <w:sz w:val="22"/>
        </w:rPr>
      </w:pPr>
      <w:r w:rsidRPr="00BC06F1">
        <w:rPr>
          <w:rFonts w:cs="Times New Roman"/>
          <w:sz w:val="22"/>
        </w:rPr>
        <w:t>T</w:t>
      </w:r>
      <w:r w:rsidR="0048429C" w:rsidRPr="00BC06F1">
        <w:rPr>
          <w:rFonts w:cs="Times New Roman"/>
          <w:sz w:val="22"/>
        </w:rPr>
        <w:t xml:space="preserve">ovrstni opredelitvi </w:t>
      </w:r>
      <w:r w:rsidR="00A40DDF" w:rsidRPr="00BC06F1">
        <w:rPr>
          <w:rFonts w:cs="Times New Roman"/>
          <w:sz w:val="22"/>
        </w:rPr>
        <w:t>sta n</w:t>
      </w:r>
      <w:r w:rsidRPr="00BC06F1">
        <w:rPr>
          <w:rFonts w:cs="Times New Roman"/>
          <w:sz w:val="22"/>
        </w:rPr>
        <w:t xml:space="preserve">amreč vsebinsko </w:t>
      </w:r>
      <w:r w:rsidR="0048429C" w:rsidRPr="00BC06F1">
        <w:rPr>
          <w:rFonts w:cs="Times New Roman"/>
          <w:sz w:val="22"/>
        </w:rPr>
        <w:t>različni</w:t>
      </w:r>
      <w:r w:rsidRPr="00BC06F1">
        <w:rPr>
          <w:rFonts w:cs="Times New Roman"/>
          <w:sz w:val="22"/>
        </w:rPr>
        <w:t xml:space="preserve">: </w:t>
      </w:r>
      <w:r w:rsidR="00B5659C" w:rsidRPr="00BC06F1">
        <w:rPr>
          <w:rFonts w:cs="Times New Roman"/>
          <w:sz w:val="22"/>
        </w:rPr>
        <w:t xml:space="preserve">termin 'enakopravnost spolov' je širši množici sicer morda bliže, ker se ga je uporabljalo že v prejšnjem političnem sistemu. Vendar pa se z njim poudarja predvsem pravno enakost moških in žensk. Sodobni koncept 'enakost spolov' pa poleg pravno-formalne </w:t>
      </w:r>
      <w:r w:rsidRPr="00BC06F1">
        <w:rPr>
          <w:rFonts w:cs="Times New Roman"/>
          <w:sz w:val="22"/>
        </w:rPr>
        <w:t xml:space="preserve">podlage </w:t>
      </w:r>
      <w:r w:rsidR="00B5659C" w:rsidRPr="00BC06F1">
        <w:rPr>
          <w:rFonts w:cs="Times New Roman"/>
          <w:sz w:val="22"/>
        </w:rPr>
        <w:t>(</w:t>
      </w:r>
      <w:r w:rsidR="00B5659C" w:rsidRPr="00BC06F1">
        <w:rPr>
          <w:rFonts w:cs="Times New Roman"/>
          <w:i/>
          <w:sz w:val="22"/>
        </w:rPr>
        <w:t>de jure</w:t>
      </w:r>
      <w:r w:rsidR="00B5659C" w:rsidRPr="00BC06F1">
        <w:rPr>
          <w:rFonts w:cs="Times New Roman"/>
          <w:sz w:val="22"/>
        </w:rPr>
        <w:t xml:space="preserve">) enakosti, </w:t>
      </w:r>
      <w:r w:rsidR="0072383E" w:rsidRPr="00BC06F1">
        <w:rPr>
          <w:rFonts w:cs="Times New Roman"/>
          <w:sz w:val="22"/>
        </w:rPr>
        <w:t xml:space="preserve">vsebuje </w:t>
      </w:r>
      <w:r w:rsidR="00B5659C" w:rsidRPr="00BC06F1">
        <w:rPr>
          <w:rFonts w:cs="Times New Roman"/>
          <w:sz w:val="22"/>
        </w:rPr>
        <w:t xml:space="preserve">še </w:t>
      </w:r>
      <w:r w:rsidR="0072383E" w:rsidRPr="00BC06F1">
        <w:rPr>
          <w:rFonts w:cs="Times New Roman"/>
          <w:sz w:val="22"/>
        </w:rPr>
        <w:t xml:space="preserve">zavzemanje za enak položaj spolov, torej za </w:t>
      </w:r>
      <w:r w:rsidR="00B5659C" w:rsidRPr="00BC06F1">
        <w:rPr>
          <w:rFonts w:cs="Times New Roman"/>
          <w:sz w:val="22"/>
        </w:rPr>
        <w:t>dejansko (</w:t>
      </w:r>
      <w:r w:rsidR="00B5659C" w:rsidRPr="00BC06F1">
        <w:rPr>
          <w:rFonts w:cs="Times New Roman"/>
          <w:i/>
          <w:sz w:val="22"/>
        </w:rPr>
        <w:t>de facto</w:t>
      </w:r>
      <w:r w:rsidR="00B5659C" w:rsidRPr="00BC06F1">
        <w:rPr>
          <w:rFonts w:cs="Times New Roman"/>
          <w:sz w:val="22"/>
        </w:rPr>
        <w:t>) enakost</w:t>
      </w:r>
      <w:r w:rsidR="0072383E" w:rsidRPr="00BC06F1">
        <w:rPr>
          <w:rFonts w:cs="Times New Roman"/>
          <w:sz w:val="22"/>
        </w:rPr>
        <w:t>. Enakost po z</w:t>
      </w:r>
      <w:r w:rsidR="00B5659C" w:rsidRPr="00BC06F1">
        <w:rPr>
          <w:rFonts w:cs="Times New Roman"/>
          <w:sz w:val="22"/>
        </w:rPr>
        <w:t>akon</w:t>
      </w:r>
      <w:r w:rsidR="0072383E" w:rsidRPr="00BC06F1">
        <w:rPr>
          <w:rFonts w:cs="Times New Roman"/>
          <w:sz w:val="22"/>
        </w:rPr>
        <w:t xml:space="preserve">u </w:t>
      </w:r>
      <w:r w:rsidR="00B5659C" w:rsidRPr="00BC06F1">
        <w:rPr>
          <w:rFonts w:cs="Times New Roman"/>
          <w:sz w:val="22"/>
        </w:rPr>
        <w:t>namreč še n</w:t>
      </w:r>
      <w:r w:rsidR="0072383E" w:rsidRPr="00BC06F1">
        <w:rPr>
          <w:rFonts w:cs="Times New Roman"/>
          <w:sz w:val="22"/>
        </w:rPr>
        <w:t xml:space="preserve">e zagotavlja </w:t>
      </w:r>
      <w:r w:rsidR="00B5659C" w:rsidRPr="00BC06F1">
        <w:rPr>
          <w:rFonts w:cs="Times New Roman"/>
          <w:sz w:val="22"/>
        </w:rPr>
        <w:t xml:space="preserve"> enak</w:t>
      </w:r>
      <w:r w:rsidR="0072383E" w:rsidRPr="00BC06F1">
        <w:rPr>
          <w:rFonts w:cs="Times New Roman"/>
          <w:sz w:val="22"/>
        </w:rPr>
        <w:t xml:space="preserve">ega </w:t>
      </w:r>
      <w:r w:rsidR="00B5659C" w:rsidRPr="00BC06F1">
        <w:rPr>
          <w:rFonts w:cs="Times New Roman"/>
          <w:i/>
          <w:sz w:val="22"/>
        </w:rPr>
        <w:t xml:space="preserve"> položaja žensk in moških v družb</w:t>
      </w:r>
      <w:r w:rsidR="0072383E" w:rsidRPr="00BC06F1">
        <w:rPr>
          <w:rFonts w:cs="Times New Roman"/>
          <w:i/>
          <w:sz w:val="22"/>
        </w:rPr>
        <w:t xml:space="preserve"> in različnih sferah njihovega delovanja</w:t>
      </w:r>
      <w:r w:rsidR="00B5659C" w:rsidRPr="00BC06F1">
        <w:rPr>
          <w:rFonts w:cs="Times New Roman"/>
          <w:sz w:val="22"/>
        </w:rPr>
        <w:t>. Če govorimo zgolj o enakopravnosti, izgubimo družbeni vidik enakosti; če govorimo o en</w:t>
      </w:r>
      <w:r w:rsidR="000D766E" w:rsidRPr="00BC06F1">
        <w:rPr>
          <w:rFonts w:cs="Times New Roman"/>
          <w:sz w:val="22"/>
        </w:rPr>
        <w:t>akih možnostih in enaki udeležbi</w:t>
      </w:r>
      <w:r w:rsidR="00B5659C" w:rsidRPr="00BC06F1">
        <w:rPr>
          <w:rFonts w:cs="Times New Roman"/>
          <w:sz w:val="22"/>
        </w:rPr>
        <w:t xml:space="preserve"> pri delitvi rezultatov družbenega razvoja, ne zanikamo enakopravnosti, saj ta </w:t>
      </w:r>
      <w:r w:rsidR="000D766E" w:rsidRPr="00BC06F1">
        <w:rPr>
          <w:rFonts w:cs="Times New Roman"/>
          <w:sz w:val="22"/>
        </w:rPr>
        <w:t xml:space="preserve">v ozadju še zmeraj </w:t>
      </w:r>
      <w:r w:rsidR="00B5659C" w:rsidRPr="00BC06F1">
        <w:rPr>
          <w:rFonts w:cs="Times New Roman"/>
          <w:sz w:val="22"/>
        </w:rPr>
        <w:t>osta</w:t>
      </w:r>
      <w:r w:rsidR="007925FF" w:rsidRPr="00BC06F1">
        <w:rPr>
          <w:rFonts w:cs="Times New Roman"/>
          <w:sz w:val="22"/>
        </w:rPr>
        <w:t>ja kot pravna podlaga (Ministrstvo za delo, družino, socialne zadeve in enake možnosti</w:t>
      </w:r>
      <w:r w:rsidR="00F84A44" w:rsidRPr="00BC06F1">
        <w:rPr>
          <w:rFonts w:cs="Times New Roman"/>
          <w:sz w:val="22"/>
        </w:rPr>
        <w:t>, 2018</w:t>
      </w:r>
      <w:r w:rsidR="007925FF" w:rsidRPr="00BC06F1">
        <w:rPr>
          <w:rFonts w:cs="Times New Roman"/>
          <w:sz w:val="22"/>
        </w:rPr>
        <w:t xml:space="preserve">). </w:t>
      </w:r>
    </w:p>
    <w:p w14:paraId="0DB4CDDC" w14:textId="77777777" w:rsidR="007925FF" w:rsidRPr="00BC06F1" w:rsidRDefault="007925FF" w:rsidP="004D0E2B">
      <w:pPr>
        <w:rPr>
          <w:rFonts w:cs="Times New Roman"/>
          <w:color w:val="626161"/>
          <w:sz w:val="22"/>
        </w:rPr>
      </w:pPr>
    </w:p>
    <w:p w14:paraId="6C4A2E5C" w14:textId="0F7D11B1" w:rsidR="00FF7D6D" w:rsidRPr="00BC06F1" w:rsidRDefault="0072383E" w:rsidP="004D0E2B">
      <w:pPr>
        <w:rPr>
          <w:rFonts w:cs="Times New Roman"/>
          <w:sz w:val="22"/>
        </w:rPr>
      </w:pPr>
      <w:r w:rsidRPr="00BC06F1">
        <w:rPr>
          <w:rFonts w:cs="Times New Roman"/>
          <w:sz w:val="22"/>
        </w:rPr>
        <w:t xml:space="preserve">Glede na zgoraj zapisano, </w:t>
      </w:r>
      <w:r w:rsidR="00294831" w:rsidRPr="00BC06F1">
        <w:rPr>
          <w:rFonts w:cs="Times New Roman"/>
          <w:sz w:val="22"/>
        </w:rPr>
        <w:t>je mogoče odgovore strank razvrstiti v dve kategoriji</w:t>
      </w:r>
      <w:r w:rsidRPr="00BC06F1">
        <w:rPr>
          <w:rFonts w:cs="Times New Roman"/>
          <w:sz w:val="22"/>
        </w:rPr>
        <w:t>.</w:t>
      </w:r>
      <w:r w:rsidR="00294831" w:rsidRPr="00BC06F1">
        <w:rPr>
          <w:rFonts w:cs="Times New Roman"/>
          <w:sz w:val="22"/>
        </w:rPr>
        <w:t xml:space="preserve"> </w:t>
      </w:r>
      <w:r w:rsidR="00C82EE2" w:rsidRPr="00BC06F1">
        <w:rPr>
          <w:rFonts w:cs="Times New Roman"/>
          <w:sz w:val="22"/>
        </w:rPr>
        <w:t>Nekatere stranke so mnenja</w:t>
      </w:r>
      <w:r w:rsidR="00294831" w:rsidRPr="00BC06F1">
        <w:rPr>
          <w:rFonts w:cs="Times New Roman"/>
          <w:sz w:val="22"/>
        </w:rPr>
        <w:t>, da gre pri uporabi besedne zveze 'enakost spolov' za terminološko zmoto</w:t>
      </w:r>
      <w:r w:rsidR="00B5659C" w:rsidRPr="00BC06F1">
        <w:rPr>
          <w:rFonts w:cs="Times New Roman"/>
          <w:sz w:val="22"/>
        </w:rPr>
        <w:t xml:space="preserve"> oziroma napačno dikcijo</w:t>
      </w:r>
      <w:r w:rsidR="00294831" w:rsidRPr="00BC06F1">
        <w:rPr>
          <w:rFonts w:cs="Times New Roman"/>
          <w:sz w:val="22"/>
        </w:rPr>
        <w:t xml:space="preserve">, saj naj bi </w:t>
      </w:r>
      <w:r w:rsidR="00966D23">
        <w:rPr>
          <w:rFonts w:cs="Times New Roman"/>
          <w:sz w:val="22"/>
        </w:rPr>
        <w:t xml:space="preserve">ta nakazovala </w:t>
      </w:r>
      <w:r w:rsidR="00294831" w:rsidRPr="00BC06F1">
        <w:rPr>
          <w:rFonts w:cs="Times New Roman"/>
          <w:sz w:val="22"/>
        </w:rPr>
        <w:t xml:space="preserve"> »</w:t>
      </w:r>
      <w:r w:rsidR="00294831" w:rsidRPr="00BC06F1">
        <w:rPr>
          <w:rFonts w:cs="Times New Roman"/>
          <w:i/>
          <w:sz w:val="22"/>
        </w:rPr>
        <w:t>politične implikacije od ukinitve bioloških razlik med moškimi in ženskami do razvrednotenja materinstva in očetovstva, saj bi lahko v razglasitvi enakosti med spoloma očetovstvo nadomeščale ženske in materinstvo nadomeščali moški</w:t>
      </w:r>
      <w:r w:rsidR="00294831" w:rsidRPr="00BC06F1">
        <w:rPr>
          <w:rFonts w:cs="Times New Roman"/>
          <w:sz w:val="22"/>
        </w:rPr>
        <w:t>«</w:t>
      </w:r>
      <w:r w:rsidR="00C82EE2" w:rsidRPr="00BC06F1">
        <w:rPr>
          <w:rFonts w:cs="Times New Roman"/>
          <w:sz w:val="22"/>
        </w:rPr>
        <w:t xml:space="preserve"> (NSi)</w:t>
      </w:r>
      <w:r w:rsidR="00094F2E" w:rsidRPr="00BC06F1">
        <w:rPr>
          <w:rFonts w:cs="Times New Roman"/>
          <w:sz w:val="22"/>
        </w:rPr>
        <w:t>. Ali pa</w:t>
      </w:r>
      <w:r w:rsidR="00C82EE2" w:rsidRPr="00BC06F1">
        <w:rPr>
          <w:rFonts w:cs="Times New Roman"/>
          <w:sz w:val="22"/>
        </w:rPr>
        <w:t xml:space="preserve"> je ta termin </w:t>
      </w:r>
      <w:r w:rsidR="00094F2E" w:rsidRPr="00BC06F1">
        <w:rPr>
          <w:rFonts w:cs="Times New Roman"/>
          <w:sz w:val="22"/>
        </w:rPr>
        <w:t xml:space="preserve">označen kot </w:t>
      </w:r>
      <w:r w:rsidR="00C82EE2" w:rsidRPr="00BC06F1">
        <w:rPr>
          <w:rFonts w:cs="Times New Roman"/>
          <w:sz w:val="22"/>
        </w:rPr>
        <w:t>napačen, ker »</w:t>
      </w:r>
      <w:r w:rsidR="00C82EE2" w:rsidRPr="00BC06F1">
        <w:rPr>
          <w:rFonts w:cs="Times New Roman"/>
          <w:i/>
          <w:sz w:val="22"/>
        </w:rPr>
        <w:t>oba spola nikoli nista bila in ne bosta enaka. Če bi bila oba spola enaka, potem človeštva sploh ne bi bilo, ker se ne bi bili zmožni razmnoževati</w:t>
      </w:r>
      <w:r w:rsidR="00C82EE2" w:rsidRPr="00BC06F1">
        <w:rPr>
          <w:rFonts w:cs="Times New Roman"/>
          <w:sz w:val="22"/>
        </w:rPr>
        <w:t xml:space="preserve">« (Zedinjena Slovenija). </w:t>
      </w:r>
      <w:r w:rsidR="009B2967" w:rsidRPr="00BC06F1">
        <w:rPr>
          <w:rFonts w:cs="Times New Roman"/>
          <w:sz w:val="22"/>
        </w:rPr>
        <w:t>Tovrstn</w:t>
      </w:r>
      <w:r w:rsidRPr="00BC06F1">
        <w:rPr>
          <w:rFonts w:cs="Times New Roman"/>
          <w:sz w:val="22"/>
        </w:rPr>
        <w:t>a</w:t>
      </w:r>
      <w:r w:rsidR="009B2967" w:rsidRPr="00BC06F1">
        <w:rPr>
          <w:rFonts w:cs="Times New Roman"/>
          <w:sz w:val="22"/>
        </w:rPr>
        <w:t xml:space="preserve"> pojmovanj</w:t>
      </w:r>
      <w:r w:rsidRPr="00BC06F1">
        <w:rPr>
          <w:rFonts w:cs="Times New Roman"/>
          <w:sz w:val="22"/>
        </w:rPr>
        <w:t>a</w:t>
      </w:r>
      <w:r w:rsidR="009B2967" w:rsidRPr="00BC06F1">
        <w:rPr>
          <w:rFonts w:cs="Times New Roman"/>
          <w:sz w:val="22"/>
        </w:rPr>
        <w:t xml:space="preserve"> enakosti spolov </w:t>
      </w:r>
      <w:r w:rsidRPr="00BC06F1">
        <w:rPr>
          <w:rFonts w:cs="Times New Roman"/>
          <w:sz w:val="22"/>
        </w:rPr>
        <w:t xml:space="preserve">niso uglašena s </w:t>
      </w:r>
      <w:r w:rsidR="009B2967" w:rsidRPr="00BC06F1">
        <w:rPr>
          <w:rFonts w:cs="Times New Roman"/>
          <w:sz w:val="22"/>
        </w:rPr>
        <w:t xml:space="preserve">pojmovanjem </w:t>
      </w:r>
      <w:r w:rsidRPr="00BC06F1">
        <w:rPr>
          <w:rFonts w:cs="Times New Roman"/>
          <w:sz w:val="22"/>
        </w:rPr>
        <w:t xml:space="preserve">enakosti spolov kakršne zasledimo v dokumentih </w:t>
      </w:r>
      <w:r w:rsidR="009B2967" w:rsidRPr="00BC06F1">
        <w:rPr>
          <w:rFonts w:cs="Times New Roman"/>
          <w:sz w:val="22"/>
        </w:rPr>
        <w:t>evropsk</w:t>
      </w:r>
      <w:r w:rsidRPr="00BC06F1">
        <w:rPr>
          <w:rFonts w:cs="Times New Roman"/>
          <w:sz w:val="22"/>
        </w:rPr>
        <w:t xml:space="preserve">e unije ali drugih mednarodnih dokumentih, ki urejajo to področje. </w:t>
      </w:r>
      <w:r w:rsidR="009B2967" w:rsidRPr="00BC06F1">
        <w:rPr>
          <w:rFonts w:cs="Times New Roman"/>
          <w:sz w:val="22"/>
        </w:rPr>
        <w:t xml:space="preserve"> </w:t>
      </w:r>
    </w:p>
    <w:p w14:paraId="0E2652F1" w14:textId="7DE6C1CB" w:rsidR="00405B8C" w:rsidRPr="00BC06F1" w:rsidRDefault="00405B8C" w:rsidP="006E1910">
      <w:pPr>
        <w:rPr>
          <w:rFonts w:cs="Times New Roman"/>
          <w:sz w:val="22"/>
        </w:rPr>
      </w:pPr>
    </w:p>
    <w:p w14:paraId="6F489AF3" w14:textId="77777777" w:rsidR="00405B8C" w:rsidRPr="00BC06F1" w:rsidRDefault="00405B8C" w:rsidP="006E1910">
      <w:pPr>
        <w:rPr>
          <w:rFonts w:cs="Times New Roman"/>
          <w:sz w:val="22"/>
        </w:rPr>
      </w:pPr>
      <w:r w:rsidRPr="00BC06F1">
        <w:rPr>
          <w:rFonts w:cs="Times New Roman"/>
          <w:sz w:val="22"/>
        </w:rPr>
        <w:lastRenderedPageBreak/>
        <w:t>Temeljni poudarki odgovorov</w:t>
      </w:r>
      <w:r w:rsidR="00B87BB0" w:rsidRPr="00BC06F1">
        <w:rPr>
          <w:rFonts w:cs="Times New Roman"/>
          <w:sz w:val="22"/>
        </w:rPr>
        <w:t xml:space="preserve"> </w:t>
      </w:r>
      <w:r w:rsidR="00952E91" w:rsidRPr="00BC06F1">
        <w:rPr>
          <w:rFonts w:cs="Times New Roman"/>
          <w:sz w:val="22"/>
        </w:rPr>
        <w:t>na drugo in tretje vprašanje</w:t>
      </w:r>
      <w:r w:rsidR="00B87BB0" w:rsidRPr="00BC06F1">
        <w:rPr>
          <w:rFonts w:cs="Times New Roman"/>
          <w:sz w:val="22"/>
        </w:rPr>
        <w:t xml:space="preserve"> s pozitivnim odnosom do opisovanega</w:t>
      </w:r>
      <w:r w:rsidRPr="00BC06F1">
        <w:rPr>
          <w:rFonts w:cs="Times New Roman"/>
          <w:sz w:val="22"/>
        </w:rPr>
        <w:t xml:space="preserve">, zajeti v </w:t>
      </w:r>
      <w:r w:rsidR="00B87BB0" w:rsidRPr="00BC06F1">
        <w:rPr>
          <w:rFonts w:cs="Times New Roman"/>
          <w:sz w:val="22"/>
        </w:rPr>
        <w:t>spodnji tabeli – kaj se analiziranim političnim strankam zdi problematično in za kaj bi si prizadevale:</w:t>
      </w:r>
    </w:p>
    <w:tbl>
      <w:tblPr>
        <w:tblStyle w:val="Tabelamrea"/>
        <w:tblW w:w="9434" w:type="dxa"/>
        <w:jc w:val="center"/>
        <w:tblLook w:val="04A0" w:firstRow="1" w:lastRow="0" w:firstColumn="1" w:lastColumn="0" w:noHBand="0" w:noVBand="1"/>
      </w:tblPr>
      <w:tblGrid>
        <w:gridCol w:w="1627"/>
        <w:gridCol w:w="559"/>
        <w:gridCol w:w="607"/>
        <w:gridCol w:w="654"/>
        <w:gridCol w:w="1219"/>
        <w:gridCol w:w="513"/>
        <w:gridCol w:w="1096"/>
        <w:gridCol w:w="818"/>
        <w:gridCol w:w="689"/>
        <w:gridCol w:w="678"/>
        <w:gridCol w:w="974"/>
      </w:tblGrid>
      <w:tr w:rsidR="00B87BB0" w:rsidRPr="00BC06F1" w14:paraId="30B44D8E" w14:textId="77777777" w:rsidTr="001A7113">
        <w:trPr>
          <w:jc w:val="center"/>
        </w:trPr>
        <w:tc>
          <w:tcPr>
            <w:tcW w:w="1838" w:type="dxa"/>
          </w:tcPr>
          <w:p w14:paraId="4F6D4D58" w14:textId="77777777" w:rsidR="00952E91" w:rsidRPr="00BC06F1" w:rsidRDefault="00952E91" w:rsidP="006E1910">
            <w:pPr>
              <w:rPr>
                <w:rFonts w:cs="Times New Roman"/>
                <w:sz w:val="22"/>
              </w:rPr>
            </w:pPr>
          </w:p>
        </w:tc>
        <w:tc>
          <w:tcPr>
            <w:tcW w:w="236" w:type="dxa"/>
          </w:tcPr>
          <w:p w14:paraId="2F3D068E" w14:textId="77777777" w:rsidR="00952E91" w:rsidRPr="00BC06F1" w:rsidRDefault="00952E91" w:rsidP="006E1910">
            <w:pPr>
              <w:rPr>
                <w:rFonts w:cs="Times New Roman"/>
                <w:sz w:val="22"/>
              </w:rPr>
            </w:pPr>
            <w:r w:rsidRPr="00BC06F1">
              <w:rPr>
                <w:rFonts w:cs="Times New Roman"/>
                <w:sz w:val="22"/>
              </w:rPr>
              <w:t>NSi</w:t>
            </w:r>
          </w:p>
        </w:tc>
        <w:tc>
          <w:tcPr>
            <w:tcW w:w="630" w:type="dxa"/>
          </w:tcPr>
          <w:p w14:paraId="53314A67" w14:textId="77777777" w:rsidR="00952E91" w:rsidRPr="00BC06F1" w:rsidRDefault="00952E91" w:rsidP="006E1910">
            <w:pPr>
              <w:rPr>
                <w:rFonts w:cs="Times New Roman"/>
                <w:sz w:val="22"/>
              </w:rPr>
            </w:pPr>
            <w:r w:rsidRPr="00BC06F1">
              <w:rPr>
                <w:rFonts w:cs="Times New Roman"/>
                <w:sz w:val="22"/>
              </w:rPr>
              <w:t>SLS</w:t>
            </w:r>
          </w:p>
        </w:tc>
        <w:tc>
          <w:tcPr>
            <w:tcW w:w="673" w:type="dxa"/>
          </w:tcPr>
          <w:p w14:paraId="250042F0" w14:textId="77777777" w:rsidR="00952E91" w:rsidRPr="00BC06F1" w:rsidRDefault="00952E91" w:rsidP="006E1910">
            <w:pPr>
              <w:rPr>
                <w:rFonts w:cs="Times New Roman"/>
                <w:sz w:val="22"/>
              </w:rPr>
            </w:pPr>
            <w:r w:rsidRPr="00BC06F1">
              <w:rPr>
                <w:rFonts w:cs="Times New Roman"/>
                <w:sz w:val="22"/>
              </w:rPr>
              <w:t>SAB</w:t>
            </w:r>
          </w:p>
        </w:tc>
        <w:tc>
          <w:tcPr>
            <w:tcW w:w="1219" w:type="dxa"/>
          </w:tcPr>
          <w:p w14:paraId="1614ABC9" w14:textId="77777777" w:rsidR="00952E91" w:rsidRPr="00BC06F1" w:rsidRDefault="00952E91" w:rsidP="006E1910">
            <w:pPr>
              <w:rPr>
                <w:rFonts w:cs="Times New Roman"/>
                <w:sz w:val="22"/>
              </w:rPr>
            </w:pPr>
            <w:r w:rsidRPr="00BC06F1">
              <w:rPr>
                <w:rFonts w:cs="Times New Roman"/>
                <w:sz w:val="22"/>
              </w:rPr>
              <w:t>Solidarnost</w:t>
            </w:r>
          </w:p>
        </w:tc>
        <w:tc>
          <w:tcPr>
            <w:tcW w:w="542" w:type="dxa"/>
          </w:tcPr>
          <w:p w14:paraId="320EF325" w14:textId="77777777" w:rsidR="00952E91" w:rsidRPr="00BC06F1" w:rsidRDefault="00952E91" w:rsidP="006E1910">
            <w:pPr>
              <w:rPr>
                <w:rFonts w:cs="Times New Roman"/>
                <w:sz w:val="22"/>
              </w:rPr>
            </w:pPr>
            <w:r w:rsidRPr="00BC06F1">
              <w:rPr>
                <w:rFonts w:cs="Times New Roman"/>
                <w:sz w:val="22"/>
              </w:rPr>
              <w:t>SD</w:t>
            </w:r>
          </w:p>
        </w:tc>
        <w:tc>
          <w:tcPr>
            <w:tcW w:w="1096" w:type="dxa"/>
          </w:tcPr>
          <w:p w14:paraId="0292A3F8" w14:textId="77777777" w:rsidR="00952E91" w:rsidRPr="00BC06F1" w:rsidRDefault="00952E91" w:rsidP="006E1910">
            <w:pPr>
              <w:rPr>
                <w:rFonts w:cs="Times New Roman"/>
                <w:sz w:val="22"/>
              </w:rPr>
            </w:pPr>
            <w:r w:rsidRPr="00BC06F1">
              <w:rPr>
                <w:rFonts w:cs="Times New Roman"/>
                <w:sz w:val="22"/>
              </w:rPr>
              <w:t>Zedinjena Slovenija</w:t>
            </w:r>
          </w:p>
        </w:tc>
        <w:tc>
          <w:tcPr>
            <w:tcW w:w="825" w:type="dxa"/>
          </w:tcPr>
          <w:p w14:paraId="4EA9062F" w14:textId="77777777" w:rsidR="00952E91" w:rsidRPr="00BC06F1" w:rsidRDefault="00952E91" w:rsidP="006E1910">
            <w:pPr>
              <w:rPr>
                <w:rFonts w:cs="Times New Roman"/>
                <w:sz w:val="22"/>
              </w:rPr>
            </w:pPr>
            <w:r w:rsidRPr="00BC06F1">
              <w:rPr>
                <w:rFonts w:cs="Times New Roman"/>
                <w:sz w:val="22"/>
              </w:rPr>
              <w:t>Levica</w:t>
            </w:r>
          </w:p>
        </w:tc>
        <w:tc>
          <w:tcPr>
            <w:tcW w:w="706" w:type="dxa"/>
          </w:tcPr>
          <w:p w14:paraId="455F0F8B" w14:textId="77777777" w:rsidR="00952E91" w:rsidRPr="00BC06F1" w:rsidRDefault="00952E91" w:rsidP="006E1910">
            <w:pPr>
              <w:rPr>
                <w:rFonts w:cs="Times New Roman"/>
                <w:sz w:val="22"/>
              </w:rPr>
            </w:pPr>
            <w:r w:rsidRPr="00BC06F1">
              <w:rPr>
                <w:rFonts w:cs="Times New Roman"/>
                <w:sz w:val="22"/>
              </w:rPr>
              <w:t>SMC</w:t>
            </w:r>
          </w:p>
        </w:tc>
        <w:tc>
          <w:tcPr>
            <w:tcW w:w="695" w:type="dxa"/>
          </w:tcPr>
          <w:p w14:paraId="6AE42980" w14:textId="77777777" w:rsidR="00952E91" w:rsidRPr="00BC06F1" w:rsidRDefault="00952E91" w:rsidP="006E1910">
            <w:pPr>
              <w:rPr>
                <w:rFonts w:cs="Times New Roman"/>
                <w:sz w:val="22"/>
              </w:rPr>
            </w:pPr>
            <w:r w:rsidRPr="00BC06F1">
              <w:rPr>
                <w:rFonts w:cs="Times New Roman"/>
                <w:sz w:val="22"/>
              </w:rPr>
              <w:t>LMŠ</w:t>
            </w:r>
          </w:p>
        </w:tc>
        <w:tc>
          <w:tcPr>
            <w:tcW w:w="974" w:type="dxa"/>
          </w:tcPr>
          <w:p w14:paraId="4E1903D1" w14:textId="77777777" w:rsidR="00952E91" w:rsidRPr="00BC06F1" w:rsidRDefault="00952E91" w:rsidP="006E1910">
            <w:pPr>
              <w:rPr>
                <w:rFonts w:cs="Times New Roman"/>
                <w:sz w:val="22"/>
              </w:rPr>
            </w:pPr>
            <w:r w:rsidRPr="00BC06F1">
              <w:rPr>
                <w:rFonts w:cs="Times New Roman"/>
                <w:sz w:val="22"/>
              </w:rPr>
              <w:t>LAČiZS</w:t>
            </w:r>
          </w:p>
        </w:tc>
      </w:tr>
      <w:tr w:rsidR="00B87BB0" w:rsidRPr="00BC06F1" w14:paraId="4E1AC61B" w14:textId="77777777" w:rsidTr="001A7113">
        <w:trPr>
          <w:jc w:val="center"/>
        </w:trPr>
        <w:tc>
          <w:tcPr>
            <w:tcW w:w="1838" w:type="dxa"/>
          </w:tcPr>
          <w:p w14:paraId="10101841" w14:textId="77777777" w:rsidR="00952E91" w:rsidRPr="00BC06F1" w:rsidRDefault="00952E91" w:rsidP="00952E91">
            <w:pPr>
              <w:jc w:val="left"/>
              <w:rPr>
                <w:rFonts w:cs="Times New Roman"/>
                <w:sz w:val="22"/>
              </w:rPr>
            </w:pPr>
            <w:r w:rsidRPr="00BC06F1">
              <w:rPr>
                <w:rFonts w:cs="Times New Roman"/>
                <w:sz w:val="22"/>
              </w:rPr>
              <w:t>Spodbujanje žensk na vodilnih in odločevalskih položajih ter t. i. stekleni strop</w:t>
            </w:r>
          </w:p>
        </w:tc>
        <w:tc>
          <w:tcPr>
            <w:tcW w:w="236" w:type="dxa"/>
            <w:vAlign w:val="center"/>
          </w:tcPr>
          <w:p w14:paraId="547F3D05" w14:textId="77777777" w:rsidR="00952E91" w:rsidRPr="00BC06F1" w:rsidRDefault="00952E91" w:rsidP="00B87BB0">
            <w:pPr>
              <w:jc w:val="center"/>
              <w:rPr>
                <w:rFonts w:cs="Times New Roman"/>
                <w:sz w:val="22"/>
              </w:rPr>
            </w:pPr>
          </w:p>
        </w:tc>
        <w:tc>
          <w:tcPr>
            <w:tcW w:w="630" w:type="dxa"/>
            <w:vAlign w:val="center"/>
          </w:tcPr>
          <w:p w14:paraId="3054C6A1" w14:textId="77777777" w:rsidR="00952E91" w:rsidRPr="00BC06F1" w:rsidRDefault="00952E91" w:rsidP="00B87BB0">
            <w:pPr>
              <w:jc w:val="center"/>
              <w:rPr>
                <w:rFonts w:cs="Times New Roman"/>
                <w:sz w:val="22"/>
              </w:rPr>
            </w:pPr>
          </w:p>
        </w:tc>
        <w:tc>
          <w:tcPr>
            <w:tcW w:w="673" w:type="dxa"/>
            <w:vAlign w:val="center"/>
          </w:tcPr>
          <w:p w14:paraId="3F54D1D9" w14:textId="77777777" w:rsidR="00952E91" w:rsidRPr="00BC06F1" w:rsidRDefault="00B87BB0"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1219" w:type="dxa"/>
            <w:vAlign w:val="center"/>
          </w:tcPr>
          <w:p w14:paraId="340356FC" w14:textId="77777777" w:rsidR="00952E91" w:rsidRPr="00BC06F1" w:rsidRDefault="00952E91" w:rsidP="00B87BB0">
            <w:pPr>
              <w:jc w:val="center"/>
              <w:rPr>
                <w:rFonts w:cs="Times New Roman"/>
                <w:sz w:val="22"/>
              </w:rPr>
            </w:pPr>
          </w:p>
        </w:tc>
        <w:tc>
          <w:tcPr>
            <w:tcW w:w="542" w:type="dxa"/>
            <w:vAlign w:val="center"/>
          </w:tcPr>
          <w:p w14:paraId="7F2CE3A0" w14:textId="77777777" w:rsidR="00952E91" w:rsidRPr="00BC06F1" w:rsidRDefault="00A71D05"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1096" w:type="dxa"/>
            <w:vAlign w:val="center"/>
          </w:tcPr>
          <w:p w14:paraId="78256868" w14:textId="77777777" w:rsidR="00952E91" w:rsidRPr="00BC06F1" w:rsidRDefault="00952E91" w:rsidP="00B87BB0">
            <w:pPr>
              <w:jc w:val="center"/>
              <w:rPr>
                <w:rFonts w:cs="Times New Roman"/>
                <w:sz w:val="22"/>
              </w:rPr>
            </w:pPr>
          </w:p>
        </w:tc>
        <w:tc>
          <w:tcPr>
            <w:tcW w:w="825" w:type="dxa"/>
            <w:vAlign w:val="center"/>
          </w:tcPr>
          <w:p w14:paraId="4E236494" w14:textId="77777777" w:rsidR="00952E91" w:rsidRPr="00BC06F1" w:rsidRDefault="00B87BB0"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706" w:type="dxa"/>
            <w:vAlign w:val="center"/>
          </w:tcPr>
          <w:p w14:paraId="3ED652EA" w14:textId="77777777" w:rsidR="00952E91" w:rsidRPr="00BC06F1" w:rsidRDefault="00B87BB0"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695" w:type="dxa"/>
            <w:vAlign w:val="center"/>
          </w:tcPr>
          <w:p w14:paraId="3F37A9FC" w14:textId="77777777" w:rsidR="00952E91" w:rsidRPr="00BC06F1" w:rsidRDefault="00B87BB0"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974" w:type="dxa"/>
            <w:vAlign w:val="center"/>
          </w:tcPr>
          <w:p w14:paraId="5580ED41" w14:textId="77777777" w:rsidR="00952E91" w:rsidRPr="00BC06F1" w:rsidRDefault="00952E91" w:rsidP="00B87BB0">
            <w:pPr>
              <w:jc w:val="center"/>
              <w:rPr>
                <w:rFonts w:cs="Times New Roman"/>
                <w:sz w:val="22"/>
              </w:rPr>
            </w:pPr>
          </w:p>
        </w:tc>
      </w:tr>
      <w:tr w:rsidR="00B87BB0" w:rsidRPr="00BC06F1" w14:paraId="287FB2FB" w14:textId="77777777" w:rsidTr="001A7113">
        <w:trPr>
          <w:jc w:val="center"/>
        </w:trPr>
        <w:tc>
          <w:tcPr>
            <w:tcW w:w="1838" w:type="dxa"/>
          </w:tcPr>
          <w:p w14:paraId="742EDE6F" w14:textId="77777777" w:rsidR="00B87BB0" w:rsidRPr="00BC06F1" w:rsidRDefault="00B87BB0" w:rsidP="00952E91">
            <w:pPr>
              <w:jc w:val="left"/>
              <w:rPr>
                <w:rFonts w:cs="Times New Roman"/>
                <w:sz w:val="22"/>
              </w:rPr>
            </w:pPr>
            <w:r w:rsidRPr="00BC06F1">
              <w:rPr>
                <w:rFonts w:cs="Times New Roman"/>
                <w:sz w:val="22"/>
              </w:rPr>
              <w:t>Plačna vrzel</w:t>
            </w:r>
          </w:p>
        </w:tc>
        <w:tc>
          <w:tcPr>
            <w:tcW w:w="236" w:type="dxa"/>
            <w:vAlign w:val="center"/>
          </w:tcPr>
          <w:p w14:paraId="4518465B" w14:textId="77777777" w:rsidR="00B87BB0" w:rsidRPr="00BC06F1" w:rsidRDefault="00B87BB0" w:rsidP="00B87BB0">
            <w:pPr>
              <w:jc w:val="center"/>
              <w:rPr>
                <w:rFonts w:cs="Times New Roman"/>
                <w:sz w:val="22"/>
              </w:rPr>
            </w:pPr>
          </w:p>
        </w:tc>
        <w:tc>
          <w:tcPr>
            <w:tcW w:w="630" w:type="dxa"/>
            <w:vAlign w:val="center"/>
          </w:tcPr>
          <w:p w14:paraId="4F4FD89D" w14:textId="77777777" w:rsidR="00B87BB0" w:rsidRPr="00BC06F1" w:rsidRDefault="00B87BB0"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673" w:type="dxa"/>
            <w:vAlign w:val="center"/>
          </w:tcPr>
          <w:p w14:paraId="4535EAC8" w14:textId="77777777" w:rsidR="00B87BB0" w:rsidRPr="00BC06F1" w:rsidRDefault="00B87BB0"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1219" w:type="dxa"/>
            <w:vAlign w:val="center"/>
          </w:tcPr>
          <w:p w14:paraId="407CDC23" w14:textId="77777777" w:rsidR="00B87BB0" w:rsidRPr="00BC06F1" w:rsidRDefault="00B87BB0" w:rsidP="00B87BB0">
            <w:pPr>
              <w:jc w:val="center"/>
              <w:rPr>
                <w:rFonts w:cs="Times New Roman"/>
                <w:sz w:val="22"/>
              </w:rPr>
            </w:pPr>
          </w:p>
        </w:tc>
        <w:tc>
          <w:tcPr>
            <w:tcW w:w="542" w:type="dxa"/>
            <w:vAlign w:val="center"/>
          </w:tcPr>
          <w:p w14:paraId="1116109F" w14:textId="77777777" w:rsidR="00B87BB0" w:rsidRPr="00BC06F1" w:rsidRDefault="00B87BB0"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1096" w:type="dxa"/>
            <w:vAlign w:val="center"/>
          </w:tcPr>
          <w:p w14:paraId="16885870" w14:textId="77777777" w:rsidR="00B87BB0" w:rsidRPr="00BC06F1" w:rsidRDefault="00B87BB0"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825" w:type="dxa"/>
            <w:vAlign w:val="center"/>
          </w:tcPr>
          <w:p w14:paraId="07B58EC4" w14:textId="77777777" w:rsidR="00B87BB0" w:rsidRPr="00BC06F1" w:rsidRDefault="00B87BB0"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706" w:type="dxa"/>
            <w:vAlign w:val="center"/>
          </w:tcPr>
          <w:p w14:paraId="5B32B305" w14:textId="77777777" w:rsidR="00B87BB0" w:rsidRPr="00BC06F1" w:rsidRDefault="00B87BB0"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695" w:type="dxa"/>
            <w:vAlign w:val="center"/>
          </w:tcPr>
          <w:p w14:paraId="430A9B09" w14:textId="77777777" w:rsidR="00B87BB0" w:rsidRPr="00BC06F1" w:rsidRDefault="00B87BB0" w:rsidP="00B87BB0">
            <w:pPr>
              <w:jc w:val="center"/>
              <w:rPr>
                <w:rFonts w:cs="Times New Roman"/>
                <w:sz w:val="22"/>
              </w:rPr>
            </w:pPr>
          </w:p>
        </w:tc>
        <w:tc>
          <w:tcPr>
            <w:tcW w:w="974" w:type="dxa"/>
            <w:vAlign w:val="center"/>
          </w:tcPr>
          <w:p w14:paraId="08EA8868" w14:textId="77777777" w:rsidR="00B87BB0" w:rsidRPr="00BC06F1" w:rsidRDefault="00A71D05" w:rsidP="00B87BB0">
            <w:pPr>
              <w:jc w:val="center"/>
              <w:rPr>
                <w:rFonts w:cs="Times New Roman"/>
                <w:sz w:val="22"/>
              </w:rPr>
            </w:pPr>
            <w:r w:rsidRPr="00BC06F1">
              <w:rPr>
                <w:rFonts w:ascii="Segoe UI Symbol" w:hAnsi="Segoe UI Symbol" w:cs="Segoe UI Symbol"/>
                <w:color w:val="2F2F2F"/>
                <w:sz w:val="22"/>
                <w:shd w:val="clear" w:color="auto" w:fill="FFFFFF"/>
              </w:rPr>
              <w:t>✔</w:t>
            </w:r>
          </w:p>
        </w:tc>
      </w:tr>
      <w:tr w:rsidR="00B87BB0" w:rsidRPr="00BC06F1" w14:paraId="650ADD65" w14:textId="77777777" w:rsidTr="001A7113">
        <w:trPr>
          <w:jc w:val="center"/>
        </w:trPr>
        <w:tc>
          <w:tcPr>
            <w:tcW w:w="1838" w:type="dxa"/>
          </w:tcPr>
          <w:p w14:paraId="46021FAD" w14:textId="77777777" w:rsidR="00952E91" w:rsidRPr="00BC06F1" w:rsidRDefault="00952E91" w:rsidP="00952E91">
            <w:pPr>
              <w:jc w:val="left"/>
              <w:rPr>
                <w:rFonts w:cs="Times New Roman"/>
                <w:sz w:val="22"/>
              </w:rPr>
            </w:pPr>
            <w:r w:rsidRPr="00BC06F1">
              <w:rPr>
                <w:rFonts w:cs="Times New Roman"/>
                <w:sz w:val="22"/>
              </w:rPr>
              <w:t>Usklajevanje poklicnega in družinskega življenja</w:t>
            </w:r>
          </w:p>
        </w:tc>
        <w:tc>
          <w:tcPr>
            <w:tcW w:w="236" w:type="dxa"/>
            <w:vAlign w:val="center"/>
          </w:tcPr>
          <w:p w14:paraId="5A85F72E" w14:textId="77777777" w:rsidR="00952E91" w:rsidRPr="00BC06F1" w:rsidRDefault="00C43F00"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630" w:type="dxa"/>
            <w:vAlign w:val="center"/>
          </w:tcPr>
          <w:p w14:paraId="6068768D" w14:textId="77777777" w:rsidR="00952E91" w:rsidRPr="00BC06F1" w:rsidRDefault="00B87BB0"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673" w:type="dxa"/>
            <w:vAlign w:val="center"/>
          </w:tcPr>
          <w:p w14:paraId="2298ED12" w14:textId="77777777" w:rsidR="00952E91" w:rsidRPr="00BC06F1" w:rsidRDefault="00952E91" w:rsidP="00B87BB0">
            <w:pPr>
              <w:jc w:val="center"/>
              <w:rPr>
                <w:rFonts w:cs="Times New Roman"/>
                <w:sz w:val="22"/>
              </w:rPr>
            </w:pPr>
          </w:p>
        </w:tc>
        <w:tc>
          <w:tcPr>
            <w:tcW w:w="1219" w:type="dxa"/>
            <w:vAlign w:val="center"/>
          </w:tcPr>
          <w:p w14:paraId="5FCB89F4" w14:textId="77777777" w:rsidR="00952E91" w:rsidRPr="00BC06F1" w:rsidRDefault="00952E91" w:rsidP="00B87BB0">
            <w:pPr>
              <w:jc w:val="center"/>
              <w:rPr>
                <w:rFonts w:cs="Times New Roman"/>
                <w:sz w:val="22"/>
              </w:rPr>
            </w:pPr>
          </w:p>
        </w:tc>
        <w:tc>
          <w:tcPr>
            <w:tcW w:w="542" w:type="dxa"/>
            <w:vAlign w:val="center"/>
          </w:tcPr>
          <w:p w14:paraId="1E783B3F" w14:textId="77777777" w:rsidR="00952E91" w:rsidRPr="00BC06F1" w:rsidRDefault="00B87BB0"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1096" w:type="dxa"/>
            <w:vAlign w:val="center"/>
          </w:tcPr>
          <w:p w14:paraId="05859F0E" w14:textId="77777777" w:rsidR="00952E91" w:rsidRPr="00BC06F1" w:rsidRDefault="00952E91" w:rsidP="00B87BB0">
            <w:pPr>
              <w:jc w:val="center"/>
              <w:rPr>
                <w:rFonts w:cs="Times New Roman"/>
                <w:sz w:val="22"/>
              </w:rPr>
            </w:pPr>
          </w:p>
        </w:tc>
        <w:tc>
          <w:tcPr>
            <w:tcW w:w="825" w:type="dxa"/>
            <w:vAlign w:val="center"/>
          </w:tcPr>
          <w:p w14:paraId="72339448" w14:textId="77777777" w:rsidR="00952E91" w:rsidRPr="00BC06F1" w:rsidRDefault="00952E91" w:rsidP="00B87BB0">
            <w:pPr>
              <w:jc w:val="center"/>
              <w:rPr>
                <w:rFonts w:cs="Times New Roman"/>
                <w:sz w:val="22"/>
              </w:rPr>
            </w:pPr>
          </w:p>
        </w:tc>
        <w:tc>
          <w:tcPr>
            <w:tcW w:w="706" w:type="dxa"/>
            <w:vAlign w:val="center"/>
          </w:tcPr>
          <w:p w14:paraId="3FCC70D6" w14:textId="77777777" w:rsidR="00952E91" w:rsidRPr="00BC06F1" w:rsidRDefault="00952E91" w:rsidP="00B87BB0">
            <w:pPr>
              <w:jc w:val="center"/>
              <w:rPr>
                <w:rFonts w:cs="Times New Roman"/>
                <w:sz w:val="22"/>
              </w:rPr>
            </w:pPr>
          </w:p>
        </w:tc>
        <w:tc>
          <w:tcPr>
            <w:tcW w:w="695" w:type="dxa"/>
            <w:vAlign w:val="center"/>
          </w:tcPr>
          <w:p w14:paraId="2111A420" w14:textId="77777777" w:rsidR="00952E91" w:rsidRPr="00BC06F1" w:rsidRDefault="00952E91" w:rsidP="00B87BB0">
            <w:pPr>
              <w:jc w:val="center"/>
              <w:rPr>
                <w:rFonts w:cs="Times New Roman"/>
                <w:sz w:val="22"/>
              </w:rPr>
            </w:pPr>
          </w:p>
        </w:tc>
        <w:tc>
          <w:tcPr>
            <w:tcW w:w="974" w:type="dxa"/>
            <w:vAlign w:val="center"/>
          </w:tcPr>
          <w:p w14:paraId="3CD2260F" w14:textId="77777777" w:rsidR="00952E91" w:rsidRPr="00BC06F1" w:rsidRDefault="00B87BB0" w:rsidP="00B87BB0">
            <w:pPr>
              <w:jc w:val="center"/>
              <w:rPr>
                <w:rFonts w:cs="Times New Roman"/>
                <w:sz w:val="22"/>
              </w:rPr>
            </w:pPr>
            <w:r w:rsidRPr="00BC06F1">
              <w:rPr>
                <w:rFonts w:ascii="Segoe UI Symbol" w:hAnsi="Segoe UI Symbol" w:cs="Segoe UI Symbol"/>
                <w:color w:val="2F2F2F"/>
                <w:sz w:val="22"/>
                <w:shd w:val="clear" w:color="auto" w:fill="FFFFFF"/>
              </w:rPr>
              <w:t>✔</w:t>
            </w:r>
          </w:p>
        </w:tc>
      </w:tr>
      <w:tr w:rsidR="00B87BB0" w:rsidRPr="00BC06F1" w14:paraId="7A9E1D6D" w14:textId="77777777" w:rsidTr="001A7113">
        <w:trPr>
          <w:jc w:val="center"/>
        </w:trPr>
        <w:tc>
          <w:tcPr>
            <w:tcW w:w="1838" w:type="dxa"/>
          </w:tcPr>
          <w:p w14:paraId="6CDC64A0" w14:textId="77777777" w:rsidR="00952E91" w:rsidRPr="00BC06F1" w:rsidRDefault="00B87BB0" w:rsidP="00952E91">
            <w:pPr>
              <w:jc w:val="left"/>
              <w:rPr>
                <w:rFonts w:cs="Times New Roman"/>
                <w:sz w:val="22"/>
              </w:rPr>
            </w:pPr>
            <w:r w:rsidRPr="00BC06F1">
              <w:rPr>
                <w:rFonts w:cs="Times New Roman"/>
                <w:sz w:val="22"/>
              </w:rPr>
              <w:t>Nasilje nad ženskami in spolno nadlegovanje</w:t>
            </w:r>
          </w:p>
        </w:tc>
        <w:tc>
          <w:tcPr>
            <w:tcW w:w="236" w:type="dxa"/>
            <w:vAlign w:val="center"/>
          </w:tcPr>
          <w:p w14:paraId="5E0D2E68" w14:textId="77777777" w:rsidR="00952E91" w:rsidRPr="00BC06F1" w:rsidRDefault="00952E91" w:rsidP="00B87BB0">
            <w:pPr>
              <w:jc w:val="center"/>
              <w:rPr>
                <w:rFonts w:cs="Times New Roman"/>
                <w:sz w:val="22"/>
              </w:rPr>
            </w:pPr>
          </w:p>
        </w:tc>
        <w:tc>
          <w:tcPr>
            <w:tcW w:w="630" w:type="dxa"/>
            <w:vAlign w:val="center"/>
          </w:tcPr>
          <w:p w14:paraId="3ABA355B" w14:textId="77777777" w:rsidR="00952E91" w:rsidRPr="00BC06F1" w:rsidRDefault="00952E91" w:rsidP="00B87BB0">
            <w:pPr>
              <w:jc w:val="center"/>
              <w:rPr>
                <w:rFonts w:cs="Times New Roman"/>
                <w:sz w:val="22"/>
              </w:rPr>
            </w:pPr>
          </w:p>
        </w:tc>
        <w:tc>
          <w:tcPr>
            <w:tcW w:w="673" w:type="dxa"/>
            <w:vAlign w:val="center"/>
          </w:tcPr>
          <w:p w14:paraId="149DBB47" w14:textId="77777777" w:rsidR="00952E91" w:rsidRPr="00BC06F1" w:rsidRDefault="00952E91" w:rsidP="00B87BB0">
            <w:pPr>
              <w:jc w:val="center"/>
              <w:rPr>
                <w:rFonts w:cs="Times New Roman"/>
                <w:sz w:val="22"/>
              </w:rPr>
            </w:pPr>
          </w:p>
        </w:tc>
        <w:tc>
          <w:tcPr>
            <w:tcW w:w="1219" w:type="dxa"/>
            <w:vAlign w:val="center"/>
          </w:tcPr>
          <w:p w14:paraId="022656C2" w14:textId="77777777" w:rsidR="00952E91" w:rsidRPr="00BC06F1" w:rsidRDefault="00A71D05"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542" w:type="dxa"/>
            <w:vAlign w:val="center"/>
          </w:tcPr>
          <w:p w14:paraId="13DAFA4A" w14:textId="77777777" w:rsidR="00952E91" w:rsidRPr="00BC06F1" w:rsidRDefault="00A71D05"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1096" w:type="dxa"/>
            <w:vAlign w:val="center"/>
          </w:tcPr>
          <w:p w14:paraId="52C0A9FF" w14:textId="77777777" w:rsidR="00952E91" w:rsidRPr="00BC06F1" w:rsidRDefault="00952E91" w:rsidP="00B87BB0">
            <w:pPr>
              <w:jc w:val="center"/>
              <w:rPr>
                <w:rFonts w:cs="Times New Roman"/>
                <w:sz w:val="22"/>
              </w:rPr>
            </w:pPr>
          </w:p>
        </w:tc>
        <w:tc>
          <w:tcPr>
            <w:tcW w:w="825" w:type="dxa"/>
            <w:vAlign w:val="center"/>
          </w:tcPr>
          <w:p w14:paraId="4446868F" w14:textId="77777777" w:rsidR="00952E91" w:rsidRPr="00BC06F1" w:rsidRDefault="00A71D05"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706" w:type="dxa"/>
            <w:vAlign w:val="center"/>
          </w:tcPr>
          <w:p w14:paraId="60A4FD81" w14:textId="77777777" w:rsidR="00952E91" w:rsidRPr="00BC06F1" w:rsidRDefault="00952E91" w:rsidP="00B87BB0">
            <w:pPr>
              <w:jc w:val="center"/>
              <w:rPr>
                <w:rFonts w:cs="Times New Roman"/>
                <w:sz w:val="22"/>
              </w:rPr>
            </w:pPr>
          </w:p>
        </w:tc>
        <w:tc>
          <w:tcPr>
            <w:tcW w:w="695" w:type="dxa"/>
            <w:vAlign w:val="center"/>
          </w:tcPr>
          <w:p w14:paraId="349E2ABC" w14:textId="77777777" w:rsidR="00952E91" w:rsidRPr="00BC06F1" w:rsidRDefault="00952E91" w:rsidP="00B87BB0">
            <w:pPr>
              <w:jc w:val="center"/>
              <w:rPr>
                <w:rFonts w:cs="Times New Roman"/>
                <w:sz w:val="22"/>
              </w:rPr>
            </w:pPr>
          </w:p>
        </w:tc>
        <w:tc>
          <w:tcPr>
            <w:tcW w:w="974" w:type="dxa"/>
            <w:vAlign w:val="center"/>
          </w:tcPr>
          <w:p w14:paraId="32DA4537" w14:textId="77777777" w:rsidR="00952E91" w:rsidRPr="00BC06F1" w:rsidRDefault="00952E91" w:rsidP="00B87BB0">
            <w:pPr>
              <w:jc w:val="center"/>
              <w:rPr>
                <w:rFonts w:cs="Times New Roman"/>
                <w:sz w:val="22"/>
              </w:rPr>
            </w:pPr>
          </w:p>
        </w:tc>
      </w:tr>
      <w:tr w:rsidR="00B87BB0" w:rsidRPr="00BC06F1" w14:paraId="1977F3A4" w14:textId="77777777" w:rsidTr="001A7113">
        <w:trPr>
          <w:jc w:val="center"/>
        </w:trPr>
        <w:tc>
          <w:tcPr>
            <w:tcW w:w="1838" w:type="dxa"/>
          </w:tcPr>
          <w:p w14:paraId="1EDBE59F" w14:textId="77777777" w:rsidR="00952E91" w:rsidRPr="00BC06F1" w:rsidRDefault="00B87BB0" w:rsidP="00952E91">
            <w:pPr>
              <w:jc w:val="left"/>
              <w:rPr>
                <w:rFonts w:cs="Times New Roman"/>
                <w:sz w:val="22"/>
              </w:rPr>
            </w:pPr>
            <w:r w:rsidRPr="00BC06F1">
              <w:rPr>
                <w:rFonts w:cs="Times New Roman"/>
                <w:sz w:val="22"/>
              </w:rPr>
              <w:t>Delitev domačih opravil</w:t>
            </w:r>
          </w:p>
        </w:tc>
        <w:tc>
          <w:tcPr>
            <w:tcW w:w="236" w:type="dxa"/>
            <w:vAlign w:val="center"/>
          </w:tcPr>
          <w:p w14:paraId="7504C486" w14:textId="77777777" w:rsidR="00952E91" w:rsidRPr="00BC06F1" w:rsidRDefault="00C43F00"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630" w:type="dxa"/>
            <w:vAlign w:val="center"/>
          </w:tcPr>
          <w:p w14:paraId="52F4389F" w14:textId="77777777" w:rsidR="00952E91" w:rsidRPr="00BC06F1" w:rsidRDefault="00B87BB0"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673" w:type="dxa"/>
            <w:vAlign w:val="center"/>
          </w:tcPr>
          <w:p w14:paraId="7E2D13FC" w14:textId="77777777" w:rsidR="00952E91" w:rsidRPr="00BC06F1" w:rsidRDefault="00B87BB0"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1219" w:type="dxa"/>
            <w:vAlign w:val="center"/>
          </w:tcPr>
          <w:p w14:paraId="22649DCA" w14:textId="77777777" w:rsidR="00952E91" w:rsidRPr="00BC06F1" w:rsidRDefault="00952E91" w:rsidP="00B87BB0">
            <w:pPr>
              <w:jc w:val="center"/>
              <w:rPr>
                <w:rFonts w:cs="Times New Roman"/>
                <w:sz w:val="22"/>
              </w:rPr>
            </w:pPr>
          </w:p>
        </w:tc>
        <w:tc>
          <w:tcPr>
            <w:tcW w:w="542" w:type="dxa"/>
            <w:vAlign w:val="center"/>
          </w:tcPr>
          <w:p w14:paraId="09060FF3" w14:textId="77777777" w:rsidR="00952E91" w:rsidRPr="00BC06F1" w:rsidRDefault="00952E91" w:rsidP="00B87BB0">
            <w:pPr>
              <w:jc w:val="center"/>
              <w:rPr>
                <w:rFonts w:cs="Times New Roman"/>
                <w:sz w:val="22"/>
              </w:rPr>
            </w:pPr>
          </w:p>
        </w:tc>
        <w:tc>
          <w:tcPr>
            <w:tcW w:w="1096" w:type="dxa"/>
            <w:vAlign w:val="center"/>
          </w:tcPr>
          <w:p w14:paraId="489E8E48" w14:textId="77777777" w:rsidR="00952E91" w:rsidRPr="00BC06F1" w:rsidRDefault="00952E91" w:rsidP="00B87BB0">
            <w:pPr>
              <w:jc w:val="center"/>
              <w:rPr>
                <w:rFonts w:cs="Times New Roman"/>
                <w:sz w:val="22"/>
              </w:rPr>
            </w:pPr>
          </w:p>
        </w:tc>
        <w:tc>
          <w:tcPr>
            <w:tcW w:w="825" w:type="dxa"/>
            <w:vAlign w:val="center"/>
          </w:tcPr>
          <w:p w14:paraId="05C5320F" w14:textId="77777777" w:rsidR="00952E91" w:rsidRPr="00BC06F1" w:rsidRDefault="00B87BB0"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706" w:type="dxa"/>
            <w:vAlign w:val="center"/>
          </w:tcPr>
          <w:p w14:paraId="791E0B04" w14:textId="77777777" w:rsidR="00952E91" w:rsidRPr="00BC06F1" w:rsidRDefault="00952E91" w:rsidP="00B87BB0">
            <w:pPr>
              <w:jc w:val="center"/>
              <w:rPr>
                <w:rFonts w:cs="Times New Roman"/>
                <w:sz w:val="22"/>
              </w:rPr>
            </w:pPr>
          </w:p>
        </w:tc>
        <w:tc>
          <w:tcPr>
            <w:tcW w:w="695" w:type="dxa"/>
            <w:vAlign w:val="center"/>
          </w:tcPr>
          <w:p w14:paraId="109980AE" w14:textId="77777777" w:rsidR="00952E91" w:rsidRPr="00BC06F1" w:rsidRDefault="00952E91" w:rsidP="00B87BB0">
            <w:pPr>
              <w:jc w:val="center"/>
              <w:rPr>
                <w:rFonts w:cs="Times New Roman"/>
                <w:sz w:val="22"/>
              </w:rPr>
            </w:pPr>
          </w:p>
        </w:tc>
        <w:tc>
          <w:tcPr>
            <w:tcW w:w="974" w:type="dxa"/>
            <w:vAlign w:val="center"/>
          </w:tcPr>
          <w:p w14:paraId="6BEA6029" w14:textId="77777777" w:rsidR="00952E91" w:rsidRPr="00BC06F1" w:rsidRDefault="00952E91" w:rsidP="00B87BB0">
            <w:pPr>
              <w:jc w:val="center"/>
              <w:rPr>
                <w:rFonts w:cs="Times New Roman"/>
                <w:sz w:val="22"/>
              </w:rPr>
            </w:pPr>
          </w:p>
        </w:tc>
      </w:tr>
      <w:tr w:rsidR="00B87BB0" w:rsidRPr="00BC06F1" w14:paraId="41262B69" w14:textId="77777777" w:rsidTr="001A7113">
        <w:trPr>
          <w:jc w:val="center"/>
        </w:trPr>
        <w:tc>
          <w:tcPr>
            <w:tcW w:w="1838" w:type="dxa"/>
          </w:tcPr>
          <w:p w14:paraId="29CAA00A" w14:textId="77777777" w:rsidR="00B87BB0" w:rsidRPr="00BC06F1" w:rsidRDefault="00B87BB0" w:rsidP="00952E91">
            <w:pPr>
              <w:jc w:val="left"/>
              <w:rPr>
                <w:rFonts w:cs="Times New Roman"/>
                <w:sz w:val="22"/>
              </w:rPr>
            </w:pPr>
            <w:r w:rsidRPr="00BC06F1">
              <w:rPr>
                <w:rFonts w:cs="Times New Roman"/>
                <w:sz w:val="22"/>
              </w:rPr>
              <w:t>Reproduktivne pravice žensk</w:t>
            </w:r>
          </w:p>
        </w:tc>
        <w:tc>
          <w:tcPr>
            <w:tcW w:w="236" w:type="dxa"/>
            <w:vAlign w:val="center"/>
          </w:tcPr>
          <w:p w14:paraId="5D6A61B8" w14:textId="77777777" w:rsidR="00B87BB0" w:rsidRPr="00BC06F1" w:rsidRDefault="00B87BB0" w:rsidP="00B87BB0">
            <w:pPr>
              <w:jc w:val="center"/>
              <w:rPr>
                <w:rFonts w:cs="Times New Roman"/>
                <w:sz w:val="22"/>
              </w:rPr>
            </w:pPr>
          </w:p>
        </w:tc>
        <w:tc>
          <w:tcPr>
            <w:tcW w:w="630" w:type="dxa"/>
            <w:vAlign w:val="center"/>
          </w:tcPr>
          <w:p w14:paraId="5533B1A0" w14:textId="77777777" w:rsidR="00B87BB0" w:rsidRPr="00BC06F1" w:rsidRDefault="00B87BB0" w:rsidP="00B87BB0">
            <w:pPr>
              <w:jc w:val="center"/>
              <w:rPr>
                <w:rFonts w:cs="Times New Roman"/>
                <w:sz w:val="22"/>
              </w:rPr>
            </w:pPr>
          </w:p>
        </w:tc>
        <w:tc>
          <w:tcPr>
            <w:tcW w:w="673" w:type="dxa"/>
            <w:vAlign w:val="center"/>
          </w:tcPr>
          <w:p w14:paraId="3B32228A" w14:textId="77777777" w:rsidR="00B87BB0" w:rsidRPr="00BC06F1" w:rsidRDefault="00B87BB0" w:rsidP="00B87BB0">
            <w:pPr>
              <w:jc w:val="center"/>
              <w:rPr>
                <w:rFonts w:cs="Times New Roman"/>
                <w:sz w:val="22"/>
              </w:rPr>
            </w:pPr>
          </w:p>
        </w:tc>
        <w:tc>
          <w:tcPr>
            <w:tcW w:w="1219" w:type="dxa"/>
            <w:vAlign w:val="center"/>
          </w:tcPr>
          <w:p w14:paraId="0D63D2B1" w14:textId="77777777" w:rsidR="00B87BB0" w:rsidRPr="00BC06F1" w:rsidRDefault="00B87BB0"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542" w:type="dxa"/>
            <w:vAlign w:val="center"/>
          </w:tcPr>
          <w:p w14:paraId="49967983" w14:textId="77777777" w:rsidR="00B87BB0" w:rsidRPr="00BC06F1" w:rsidRDefault="00B87BB0" w:rsidP="00B87BB0">
            <w:pPr>
              <w:jc w:val="center"/>
              <w:rPr>
                <w:rFonts w:cs="Times New Roman"/>
                <w:sz w:val="22"/>
              </w:rPr>
            </w:pPr>
          </w:p>
        </w:tc>
        <w:tc>
          <w:tcPr>
            <w:tcW w:w="1096" w:type="dxa"/>
            <w:vAlign w:val="center"/>
          </w:tcPr>
          <w:p w14:paraId="2CC06CAF" w14:textId="77777777" w:rsidR="00B87BB0" w:rsidRPr="00BC06F1" w:rsidRDefault="00B87BB0" w:rsidP="00B87BB0">
            <w:pPr>
              <w:jc w:val="center"/>
              <w:rPr>
                <w:rFonts w:cs="Times New Roman"/>
                <w:sz w:val="22"/>
              </w:rPr>
            </w:pPr>
          </w:p>
        </w:tc>
        <w:tc>
          <w:tcPr>
            <w:tcW w:w="825" w:type="dxa"/>
            <w:vAlign w:val="center"/>
          </w:tcPr>
          <w:p w14:paraId="6D164419" w14:textId="77777777" w:rsidR="00B87BB0" w:rsidRPr="00BC06F1" w:rsidRDefault="00B87BB0"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706" w:type="dxa"/>
            <w:vAlign w:val="center"/>
          </w:tcPr>
          <w:p w14:paraId="0A3F5AB6" w14:textId="77777777" w:rsidR="00B87BB0" w:rsidRPr="00BC06F1" w:rsidRDefault="00B87BB0" w:rsidP="00B87BB0">
            <w:pPr>
              <w:jc w:val="center"/>
              <w:rPr>
                <w:rFonts w:cs="Times New Roman"/>
                <w:sz w:val="22"/>
              </w:rPr>
            </w:pPr>
          </w:p>
        </w:tc>
        <w:tc>
          <w:tcPr>
            <w:tcW w:w="695" w:type="dxa"/>
            <w:vAlign w:val="center"/>
          </w:tcPr>
          <w:p w14:paraId="3B87B3B0" w14:textId="77777777" w:rsidR="00B87BB0" w:rsidRPr="00BC06F1" w:rsidRDefault="00B87BB0" w:rsidP="00B87BB0">
            <w:pPr>
              <w:jc w:val="center"/>
              <w:rPr>
                <w:rFonts w:cs="Times New Roman"/>
                <w:sz w:val="22"/>
              </w:rPr>
            </w:pPr>
          </w:p>
        </w:tc>
        <w:tc>
          <w:tcPr>
            <w:tcW w:w="974" w:type="dxa"/>
            <w:vAlign w:val="center"/>
          </w:tcPr>
          <w:p w14:paraId="600529EC" w14:textId="77777777" w:rsidR="00B87BB0" w:rsidRPr="00BC06F1" w:rsidRDefault="00A71D05" w:rsidP="00B87BB0">
            <w:pPr>
              <w:jc w:val="center"/>
              <w:rPr>
                <w:rFonts w:cs="Times New Roman"/>
                <w:sz w:val="22"/>
              </w:rPr>
            </w:pPr>
            <w:r w:rsidRPr="00BC06F1">
              <w:rPr>
                <w:rFonts w:ascii="Segoe UI Symbol" w:hAnsi="Segoe UI Symbol" w:cs="Segoe UI Symbol"/>
                <w:color w:val="2F2F2F"/>
                <w:sz w:val="22"/>
                <w:shd w:val="clear" w:color="auto" w:fill="FFFFFF"/>
              </w:rPr>
              <w:t>✔</w:t>
            </w:r>
          </w:p>
        </w:tc>
      </w:tr>
      <w:tr w:rsidR="00B87BB0" w:rsidRPr="00BC06F1" w14:paraId="10DC8ED9" w14:textId="77777777" w:rsidTr="001A7113">
        <w:trPr>
          <w:jc w:val="center"/>
        </w:trPr>
        <w:tc>
          <w:tcPr>
            <w:tcW w:w="1838" w:type="dxa"/>
          </w:tcPr>
          <w:p w14:paraId="705C2B77" w14:textId="77777777" w:rsidR="00952E91" w:rsidRPr="00BC06F1" w:rsidRDefault="00B87BB0" w:rsidP="00952E91">
            <w:pPr>
              <w:jc w:val="left"/>
              <w:rPr>
                <w:rFonts w:cs="Times New Roman"/>
                <w:sz w:val="22"/>
              </w:rPr>
            </w:pPr>
            <w:r w:rsidRPr="00BC06F1">
              <w:rPr>
                <w:rFonts w:cs="Times New Roman"/>
                <w:sz w:val="22"/>
              </w:rPr>
              <w:t xml:space="preserve">Spolni stereotipi </w:t>
            </w:r>
          </w:p>
        </w:tc>
        <w:tc>
          <w:tcPr>
            <w:tcW w:w="236" w:type="dxa"/>
            <w:vAlign w:val="center"/>
          </w:tcPr>
          <w:p w14:paraId="1AFC69A5" w14:textId="77777777" w:rsidR="00952E91" w:rsidRPr="00BC06F1" w:rsidRDefault="00952E91" w:rsidP="00B87BB0">
            <w:pPr>
              <w:jc w:val="center"/>
              <w:rPr>
                <w:rFonts w:cs="Times New Roman"/>
                <w:sz w:val="22"/>
              </w:rPr>
            </w:pPr>
          </w:p>
        </w:tc>
        <w:tc>
          <w:tcPr>
            <w:tcW w:w="630" w:type="dxa"/>
            <w:vAlign w:val="center"/>
          </w:tcPr>
          <w:p w14:paraId="606DAAB1" w14:textId="77777777" w:rsidR="00952E91" w:rsidRPr="00BC06F1" w:rsidRDefault="00952E91" w:rsidP="00B87BB0">
            <w:pPr>
              <w:jc w:val="center"/>
              <w:rPr>
                <w:rFonts w:cs="Times New Roman"/>
                <w:sz w:val="22"/>
              </w:rPr>
            </w:pPr>
          </w:p>
        </w:tc>
        <w:tc>
          <w:tcPr>
            <w:tcW w:w="673" w:type="dxa"/>
            <w:vAlign w:val="center"/>
          </w:tcPr>
          <w:p w14:paraId="6A3A3AA4" w14:textId="77777777" w:rsidR="00952E91" w:rsidRPr="00BC06F1" w:rsidRDefault="00A71D05"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1219" w:type="dxa"/>
            <w:vAlign w:val="center"/>
          </w:tcPr>
          <w:p w14:paraId="56E88676" w14:textId="77777777" w:rsidR="00952E91" w:rsidRPr="00BC06F1" w:rsidRDefault="00A71D05"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542" w:type="dxa"/>
            <w:vAlign w:val="center"/>
          </w:tcPr>
          <w:p w14:paraId="317B3163" w14:textId="77777777" w:rsidR="00952E91" w:rsidRPr="00BC06F1" w:rsidRDefault="00A71D05"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1096" w:type="dxa"/>
            <w:vAlign w:val="center"/>
          </w:tcPr>
          <w:p w14:paraId="5E22789B" w14:textId="77777777" w:rsidR="00952E91" w:rsidRPr="00BC06F1" w:rsidRDefault="00952E91" w:rsidP="00B87BB0">
            <w:pPr>
              <w:jc w:val="center"/>
              <w:rPr>
                <w:rFonts w:cs="Times New Roman"/>
                <w:sz w:val="22"/>
              </w:rPr>
            </w:pPr>
          </w:p>
        </w:tc>
        <w:tc>
          <w:tcPr>
            <w:tcW w:w="825" w:type="dxa"/>
            <w:vAlign w:val="center"/>
          </w:tcPr>
          <w:p w14:paraId="6B79C3BF" w14:textId="77777777" w:rsidR="00952E91" w:rsidRPr="00BC06F1" w:rsidRDefault="00A71D05"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706" w:type="dxa"/>
            <w:vAlign w:val="center"/>
          </w:tcPr>
          <w:p w14:paraId="395776BD" w14:textId="77777777" w:rsidR="00952E91" w:rsidRPr="00BC06F1" w:rsidRDefault="00952E91" w:rsidP="00B87BB0">
            <w:pPr>
              <w:jc w:val="center"/>
              <w:rPr>
                <w:rFonts w:cs="Times New Roman"/>
                <w:sz w:val="22"/>
              </w:rPr>
            </w:pPr>
          </w:p>
        </w:tc>
        <w:tc>
          <w:tcPr>
            <w:tcW w:w="695" w:type="dxa"/>
            <w:vAlign w:val="center"/>
          </w:tcPr>
          <w:p w14:paraId="6B731057" w14:textId="77777777" w:rsidR="00952E91" w:rsidRPr="00BC06F1" w:rsidRDefault="00A71D05"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974" w:type="dxa"/>
            <w:vAlign w:val="center"/>
          </w:tcPr>
          <w:p w14:paraId="3846D816" w14:textId="77777777" w:rsidR="00952E91" w:rsidRPr="00BC06F1" w:rsidRDefault="00952E91" w:rsidP="00B87BB0">
            <w:pPr>
              <w:jc w:val="center"/>
              <w:rPr>
                <w:rFonts w:cs="Times New Roman"/>
                <w:sz w:val="22"/>
              </w:rPr>
            </w:pPr>
          </w:p>
        </w:tc>
      </w:tr>
      <w:tr w:rsidR="00A71D05" w:rsidRPr="00BC06F1" w14:paraId="5817838B" w14:textId="77777777" w:rsidTr="001A7113">
        <w:trPr>
          <w:jc w:val="center"/>
        </w:trPr>
        <w:tc>
          <w:tcPr>
            <w:tcW w:w="1838" w:type="dxa"/>
          </w:tcPr>
          <w:p w14:paraId="7860DFEA" w14:textId="77777777" w:rsidR="00A71D05" w:rsidRPr="00BC06F1" w:rsidRDefault="00A71D05" w:rsidP="00952E91">
            <w:pPr>
              <w:jc w:val="left"/>
              <w:rPr>
                <w:rFonts w:cs="Times New Roman"/>
                <w:sz w:val="22"/>
              </w:rPr>
            </w:pPr>
            <w:r w:rsidRPr="00BC06F1">
              <w:rPr>
                <w:rFonts w:cs="Times New Roman"/>
                <w:sz w:val="22"/>
              </w:rPr>
              <w:t>Aktivno očetovstvo</w:t>
            </w:r>
          </w:p>
        </w:tc>
        <w:tc>
          <w:tcPr>
            <w:tcW w:w="236" w:type="dxa"/>
            <w:vAlign w:val="center"/>
          </w:tcPr>
          <w:p w14:paraId="377AFFFB" w14:textId="77777777" w:rsidR="00A71D05" w:rsidRPr="00BC06F1" w:rsidRDefault="00A71D05" w:rsidP="00B87BB0">
            <w:pPr>
              <w:jc w:val="center"/>
              <w:rPr>
                <w:rFonts w:cs="Times New Roman"/>
                <w:sz w:val="22"/>
              </w:rPr>
            </w:pPr>
          </w:p>
        </w:tc>
        <w:tc>
          <w:tcPr>
            <w:tcW w:w="630" w:type="dxa"/>
            <w:vAlign w:val="center"/>
          </w:tcPr>
          <w:p w14:paraId="04BB1049" w14:textId="77777777" w:rsidR="00A71D05" w:rsidRPr="00BC06F1" w:rsidRDefault="00A71D05" w:rsidP="00B87BB0">
            <w:pPr>
              <w:jc w:val="center"/>
              <w:rPr>
                <w:rFonts w:cs="Times New Roman"/>
                <w:sz w:val="22"/>
              </w:rPr>
            </w:pPr>
          </w:p>
        </w:tc>
        <w:tc>
          <w:tcPr>
            <w:tcW w:w="673" w:type="dxa"/>
            <w:vAlign w:val="center"/>
          </w:tcPr>
          <w:p w14:paraId="176C7AAB" w14:textId="77777777" w:rsidR="00A71D05" w:rsidRPr="00BC06F1" w:rsidRDefault="00A71D05" w:rsidP="00B87BB0">
            <w:pPr>
              <w:jc w:val="center"/>
              <w:rPr>
                <w:rFonts w:cs="Times New Roman"/>
                <w:color w:val="2F2F2F"/>
                <w:sz w:val="22"/>
                <w:shd w:val="clear" w:color="auto" w:fill="FFFFFF"/>
              </w:rPr>
            </w:pPr>
          </w:p>
        </w:tc>
        <w:tc>
          <w:tcPr>
            <w:tcW w:w="1219" w:type="dxa"/>
            <w:vAlign w:val="center"/>
          </w:tcPr>
          <w:p w14:paraId="37AAA3CD" w14:textId="77777777" w:rsidR="00A71D05" w:rsidRPr="00BC06F1" w:rsidRDefault="00A71D05"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542" w:type="dxa"/>
            <w:vAlign w:val="center"/>
          </w:tcPr>
          <w:p w14:paraId="285AB35C" w14:textId="77777777" w:rsidR="00A71D05" w:rsidRPr="00BC06F1" w:rsidRDefault="00A71D05" w:rsidP="00B87BB0">
            <w:pPr>
              <w:jc w:val="center"/>
              <w:rPr>
                <w:rFonts w:cs="Times New Roman"/>
                <w:sz w:val="22"/>
              </w:rPr>
            </w:pPr>
          </w:p>
        </w:tc>
        <w:tc>
          <w:tcPr>
            <w:tcW w:w="1096" w:type="dxa"/>
            <w:vAlign w:val="center"/>
          </w:tcPr>
          <w:p w14:paraId="3A9F99A1" w14:textId="77777777" w:rsidR="00A71D05" w:rsidRPr="00BC06F1" w:rsidRDefault="00A71D05" w:rsidP="00B87BB0">
            <w:pPr>
              <w:jc w:val="center"/>
              <w:rPr>
                <w:rFonts w:cs="Times New Roman"/>
                <w:sz w:val="22"/>
              </w:rPr>
            </w:pPr>
          </w:p>
        </w:tc>
        <w:tc>
          <w:tcPr>
            <w:tcW w:w="825" w:type="dxa"/>
            <w:vAlign w:val="center"/>
          </w:tcPr>
          <w:p w14:paraId="17D57ABA" w14:textId="77777777" w:rsidR="00A71D05" w:rsidRPr="00BC06F1" w:rsidRDefault="00A71D05" w:rsidP="00B87BB0">
            <w:pPr>
              <w:jc w:val="center"/>
              <w:rPr>
                <w:rFonts w:cs="Times New Roman"/>
                <w:b/>
                <w:sz w:val="22"/>
              </w:rPr>
            </w:pPr>
            <w:r w:rsidRPr="00BC06F1">
              <w:rPr>
                <w:rFonts w:ascii="Segoe UI Symbol" w:hAnsi="Segoe UI Symbol" w:cs="Segoe UI Symbol"/>
                <w:color w:val="2F2F2F"/>
                <w:sz w:val="22"/>
                <w:shd w:val="clear" w:color="auto" w:fill="FFFFFF"/>
              </w:rPr>
              <w:t>✔</w:t>
            </w:r>
          </w:p>
        </w:tc>
        <w:tc>
          <w:tcPr>
            <w:tcW w:w="706" w:type="dxa"/>
            <w:vAlign w:val="center"/>
          </w:tcPr>
          <w:p w14:paraId="73D1DEC0" w14:textId="77777777" w:rsidR="00A71D05" w:rsidRPr="00BC06F1" w:rsidRDefault="00A71D05" w:rsidP="00B87BB0">
            <w:pPr>
              <w:jc w:val="center"/>
              <w:rPr>
                <w:rFonts w:cs="Times New Roman"/>
                <w:sz w:val="22"/>
              </w:rPr>
            </w:pPr>
          </w:p>
        </w:tc>
        <w:tc>
          <w:tcPr>
            <w:tcW w:w="695" w:type="dxa"/>
            <w:vAlign w:val="center"/>
          </w:tcPr>
          <w:p w14:paraId="555B59E5" w14:textId="77777777" w:rsidR="00A71D05" w:rsidRPr="00BC06F1" w:rsidRDefault="00A71D05"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974" w:type="dxa"/>
            <w:vAlign w:val="center"/>
          </w:tcPr>
          <w:p w14:paraId="2C9480A2" w14:textId="77777777" w:rsidR="00A71D05" w:rsidRPr="00BC06F1" w:rsidRDefault="00A71D05" w:rsidP="00B87BB0">
            <w:pPr>
              <w:jc w:val="center"/>
              <w:rPr>
                <w:rFonts w:cs="Times New Roman"/>
                <w:sz w:val="22"/>
              </w:rPr>
            </w:pPr>
          </w:p>
        </w:tc>
      </w:tr>
      <w:tr w:rsidR="00B87BB0" w:rsidRPr="00BC06F1" w14:paraId="19F556D6" w14:textId="77777777" w:rsidTr="001A7113">
        <w:trPr>
          <w:jc w:val="center"/>
        </w:trPr>
        <w:tc>
          <w:tcPr>
            <w:tcW w:w="1838" w:type="dxa"/>
          </w:tcPr>
          <w:p w14:paraId="191E4A48" w14:textId="77777777" w:rsidR="00952E91" w:rsidRPr="00BC06F1" w:rsidRDefault="00B87BB0" w:rsidP="00952E91">
            <w:pPr>
              <w:jc w:val="left"/>
              <w:rPr>
                <w:rFonts w:cs="Times New Roman"/>
                <w:sz w:val="22"/>
              </w:rPr>
            </w:pPr>
            <w:r w:rsidRPr="00BC06F1">
              <w:rPr>
                <w:rFonts w:cs="Times New Roman"/>
                <w:sz w:val="22"/>
              </w:rPr>
              <w:t>Spolne kvote</w:t>
            </w:r>
          </w:p>
        </w:tc>
        <w:tc>
          <w:tcPr>
            <w:tcW w:w="236" w:type="dxa"/>
            <w:vAlign w:val="center"/>
          </w:tcPr>
          <w:p w14:paraId="3A147D61" w14:textId="77777777" w:rsidR="00952E91" w:rsidRPr="00BC06F1" w:rsidRDefault="00952E91" w:rsidP="00B87BB0">
            <w:pPr>
              <w:jc w:val="center"/>
              <w:rPr>
                <w:rFonts w:cs="Times New Roman"/>
                <w:sz w:val="22"/>
              </w:rPr>
            </w:pPr>
          </w:p>
        </w:tc>
        <w:tc>
          <w:tcPr>
            <w:tcW w:w="630" w:type="dxa"/>
            <w:vAlign w:val="center"/>
          </w:tcPr>
          <w:p w14:paraId="3F1AC82E" w14:textId="77777777" w:rsidR="00952E91" w:rsidRPr="00BC06F1" w:rsidRDefault="00952E91" w:rsidP="00B87BB0">
            <w:pPr>
              <w:jc w:val="center"/>
              <w:rPr>
                <w:rFonts w:cs="Times New Roman"/>
                <w:sz w:val="22"/>
              </w:rPr>
            </w:pPr>
          </w:p>
        </w:tc>
        <w:tc>
          <w:tcPr>
            <w:tcW w:w="673" w:type="dxa"/>
            <w:vAlign w:val="center"/>
          </w:tcPr>
          <w:p w14:paraId="017E73AB" w14:textId="77777777" w:rsidR="00952E91" w:rsidRPr="00BC06F1" w:rsidRDefault="00A71D05"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1219" w:type="dxa"/>
            <w:vAlign w:val="center"/>
          </w:tcPr>
          <w:p w14:paraId="6B280A43" w14:textId="77777777" w:rsidR="00952E91" w:rsidRPr="00BC06F1" w:rsidRDefault="00952E91" w:rsidP="00B87BB0">
            <w:pPr>
              <w:jc w:val="center"/>
              <w:rPr>
                <w:rFonts w:cs="Times New Roman"/>
                <w:sz w:val="22"/>
              </w:rPr>
            </w:pPr>
          </w:p>
        </w:tc>
        <w:tc>
          <w:tcPr>
            <w:tcW w:w="542" w:type="dxa"/>
            <w:vAlign w:val="center"/>
          </w:tcPr>
          <w:p w14:paraId="7A1E8D72" w14:textId="77777777" w:rsidR="00952E91" w:rsidRPr="00BC06F1" w:rsidRDefault="00A71D05"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1096" w:type="dxa"/>
            <w:vAlign w:val="center"/>
          </w:tcPr>
          <w:p w14:paraId="01254362" w14:textId="77777777" w:rsidR="00952E91" w:rsidRPr="00BC06F1" w:rsidRDefault="00952E91" w:rsidP="00B87BB0">
            <w:pPr>
              <w:jc w:val="center"/>
              <w:rPr>
                <w:rFonts w:cs="Times New Roman"/>
                <w:sz w:val="22"/>
              </w:rPr>
            </w:pPr>
          </w:p>
        </w:tc>
        <w:tc>
          <w:tcPr>
            <w:tcW w:w="825" w:type="dxa"/>
            <w:vAlign w:val="center"/>
          </w:tcPr>
          <w:p w14:paraId="0D96A88C" w14:textId="77777777" w:rsidR="00952E91" w:rsidRPr="00BC06F1" w:rsidRDefault="00A71D05"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706" w:type="dxa"/>
            <w:vAlign w:val="center"/>
          </w:tcPr>
          <w:p w14:paraId="67CCC133" w14:textId="77777777" w:rsidR="00952E91" w:rsidRPr="00BC06F1" w:rsidRDefault="00A71D05"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695" w:type="dxa"/>
            <w:vAlign w:val="center"/>
          </w:tcPr>
          <w:p w14:paraId="351CABAA" w14:textId="77777777" w:rsidR="00952E91" w:rsidRPr="00BC06F1" w:rsidRDefault="00A71D05"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974" w:type="dxa"/>
            <w:vAlign w:val="center"/>
          </w:tcPr>
          <w:p w14:paraId="27F26ABB" w14:textId="77777777" w:rsidR="00952E91" w:rsidRPr="00BC06F1" w:rsidRDefault="00952E91" w:rsidP="00B87BB0">
            <w:pPr>
              <w:jc w:val="center"/>
              <w:rPr>
                <w:rFonts w:cs="Times New Roman"/>
                <w:sz w:val="22"/>
              </w:rPr>
            </w:pPr>
          </w:p>
        </w:tc>
      </w:tr>
      <w:tr w:rsidR="00B87BB0" w:rsidRPr="00BC06F1" w14:paraId="26745DF8" w14:textId="77777777" w:rsidTr="001A7113">
        <w:trPr>
          <w:jc w:val="center"/>
        </w:trPr>
        <w:tc>
          <w:tcPr>
            <w:tcW w:w="1838" w:type="dxa"/>
          </w:tcPr>
          <w:p w14:paraId="74110D7B" w14:textId="77777777" w:rsidR="00952E91" w:rsidRPr="00BC06F1" w:rsidRDefault="00A71D05" w:rsidP="00952E91">
            <w:pPr>
              <w:jc w:val="left"/>
              <w:rPr>
                <w:rFonts w:cs="Times New Roman"/>
                <w:sz w:val="22"/>
              </w:rPr>
            </w:pPr>
            <w:r w:rsidRPr="00BC06F1">
              <w:rPr>
                <w:rFonts w:cs="Times New Roman"/>
                <w:sz w:val="22"/>
              </w:rPr>
              <w:t>Dialog med politiko in civilno družbo</w:t>
            </w:r>
          </w:p>
        </w:tc>
        <w:tc>
          <w:tcPr>
            <w:tcW w:w="236" w:type="dxa"/>
            <w:vAlign w:val="center"/>
          </w:tcPr>
          <w:p w14:paraId="4D3F1B4C" w14:textId="77777777" w:rsidR="00952E91" w:rsidRPr="00BC06F1" w:rsidRDefault="00952E91" w:rsidP="00B87BB0">
            <w:pPr>
              <w:jc w:val="center"/>
              <w:rPr>
                <w:rFonts w:cs="Times New Roman"/>
                <w:sz w:val="22"/>
              </w:rPr>
            </w:pPr>
          </w:p>
        </w:tc>
        <w:tc>
          <w:tcPr>
            <w:tcW w:w="630" w:type="dxa"/>
            <w:vAlign w:val="center"/>
          </w:tcPr>
          <w:p w14:paraId="090716F1" w14:textId="77777777" w:rsidR="00952E91" w:rsidRPr="00BC06F1" w:rsidRDefault="0049660D" w:rsidP="00B87BB0">
            <w:pPr>
              <w:jc w:val="center"/>
              <w:rPr>
                <w:rFonts w:cs="Times New Roman"/>
                <w:sz w:val="22"/>
              </w:rPr>
            </w:pPr>
            <w:r w:rsidRPr="00BC06F1">
              <w:rPr>
                <w:rFonts w:ascii="Segoe UI Symbol" w:hAnsi="Segoe UI Symbol" w:cs="Segoe UI Symbol"/>
                <w:color w:val="2F2F2F"/>
                <w:sz w:val="22"/>
                <w:shd w:val="clear" w:color="auto" w:fill="FFFFFF"/>
              </w:rPr>
              <w:t>✔</w:t>
            </w:r>
          </w:p>
        </w:tc>
        <w:tc>
          <w:tcPr>
            <w:tcW w:w="673" w:type="dxa"/>
            <w:vAlign w:val="center"/>
          </w:tcPr>
          <w:p w14:paraId="7007D757" w14:textId="77777777" w:rsidR="00952E91" w:rsidRPr="00BC06F1" w:rsidRDefault="00952E91" w:rsidP="00B87BB0">
            <w:pPr>
              <w:jc w:val="center"/>
              <w:rPr>
                <w:rFonts w:cs="Times New Roman"/>
                <w:sz w:val="22"/>
              </w:rPr>
            </w:pPr>
          </w:p>
        </w:tc>
        <w:tc>
          <w:tcPr>
            <w:tcW w:w="1219" w:type="dxa"/>
            <w:vAlign w:val="center"/>
          </w:tcPr>
          <w:p w14:paraId="77DD22DB" w14:textId="77777777" w:rsidR="00952E91" w:rsidRPr="00BC06F1" w:rsidRDefault="00952E91" w:rsidP="00B87BB0">
            <w:pPr>
              <w:jc w:val="center"/>
              <w:rPr>
                <w:rFonts w:cs="Times New Roman"/>
                <w:sz w:val="22"/>
              </w:rPr>
            </w:pPr>
          </w:p>
        </w:tc>
        <w:tc>
          <w:tcPr>
            <w:tcW w:w="542" w:type="dxa"/>
            <w:vAlign w:val="center"/>
          </w:tcPr>
          <w:p w14:paraId="798F2E4E" w14:textId="77777777" w:rsidR="00952E91" w:rsidRPr="00BC06F1" w:rsidRDefault="00952E91" w:rsidP="00B87BB0">
            <w:pPr>
              <w:jc w:val="center"/>
              <w:rPr>
                <w:rFonts w:cs="Times New Roman"/>
                <w:sz w:val="22"/>
              </w:rPr>
            </w:pPr>
          </w:p>
        </w:tc>
        <w:tc>
          <w:tcPr>
            <w:tcW w:w="1096" w:type="dxa"/>
            <w:vAlign w:val="center"/>
          </w:tcPr>
          <w:p w14:paraId="04F06532" w14:textId="77777777" w:rsidR="00952E91" w:rsidRPr="00BC06F1" w:rsidRDefault="00952E91" w:rsidP="00B87BB0">
            <w:pPr>
              <w:jc w:val="center"/>
              <w:rPr>
                <w:rFonts w:cs="Times New Roman"/>
                <w:sz w:val="22"/>
              </w:rPr>
            </w:pPr>
          </w:p>
        </w:tc>
        <w:tc>
          <w:tcPr>
            <w:tcW w:w="825" w:type="dxa"/>
            <w:vAlign w:val="center"/>
          </w:tcPr>
          <w:p w14:paraId="1566D036" w14:textId="77777777" w:rsidR="00952E91" w:rsidRPr="00BC06F1" w:rsidRDefault="00952E91" w:rsidP="00B87BB0">
            <w:pPr>
              <w:jc w:val="center"/>
              <w:rPr>
                <w:rFonts w:cs="Times New Roman"/>
                <w:sz w:val="22"/>
              </w:rPr>
            </w:pPr>
          </w:p>
        </w:tc>
        <w:tc>
          <w:tcPr>
            <w:tcW w:w="706" w:type="dxa"/>
            <w:vAlign w:val="center"/>
          </w:tcPr>
          <w:p w14:paraId="244E5F11" w14:textId="77777777" w:rsidR="00952E91" w:rsidRPr="00BC06F1" w:rsidRDefault="00952E91" w:rsidP="00B87BB0">
            <w:pPr>
              <w:jc w:val="center"/>
              <w:rPr>
                <w:rFonts w:cs="Times New Roman"/>
                <w:sz w:val="22"/>
              </w:rPr>
            </w:pPr>
          </w:p>
        </w:tc>
        <w:tc>
          <w:tcPr>
            <w:tcW w:w="695" w:type="dxa"/>
            <w:vAlign w:val="center"/>
          </w:tcPr>
          <w:p w14:paraId="6DA1D289" w14:textId="77777777" w:rsidR="00952E91" w:rsidRPr="00BC06F1" w:rsidRDefault="00952E91" w:rsidP="00B87BB0">
            <w:pPr>
              <w:jc w:val="center"/>
              <w:rPr>
                <w:rFonts w:cs="Times New Roman"/>
                <w:sz w:val="22"/>
              </w:rPr>
            </w:pPr>
          </w:p>
        </w:tc>
        <w:tc>
          <w:tcPr>
            <w:tcW w:w="974" w:type="dxa"/>
            <w:vAlign w:val="center"/>
          </w:tcPr>
          <w:p w14:paraId="7416B6EB" w14:textId="77777777" w:rsidR="00952E91" w:rsidRPr="00BC06F1" w:rsidRDefault="0049660D" w:rsidP="00B87BB0">
            <w:pPr>
              <w:jc w:val="center"/>
              <w:rPr>
                <w:rFonts w:cs="Times New Roman"/>
                <w:sz w:val="22"/>
              </w:rPr>
            </w:pPr>
            <w:r w:rsidRPr="00BC06F1">
              <w:rPr>
                <w:rFonts w:ascii="Segoe UI Symbol" w:hAnsi="Segoe UI Symbol" w:cs="Segoe UI Symbol"/>
                <w:color w:val="2F2F2F"/>
                <w:sz w:val="22"/>
                <w:shd w:val="clear" w:color="auto" w:fill="FFFFFF"/>
              </w:rPr>
              <w:t>✔</w:t>
            </w:r>
          </w:p>
        </w:tc>
      </w:tr>
    </w:tbl>
    <w:p w14:paraId="5945ABAA" w14:textId="10937A38" w:rsidR="00405B8C" w:rsidRPr="00BC06F1" w:rsidRDefault="00966D23" w:rsidP="006E1910">
      <w:pPr>
        <w:rPr>
          <w:rFonts w:cs="Times New Roman"/>
          <w:sz w:val="22"/>
        </w:rPr>
      </w:pPr>
      <w:r>
        <w:rPr>
          <w:rFonts w:cs="Times New Roman"/>
          <w:sz w:val="22"/>
        </w:rPr>
        <w:t xml:space="preserve">Opomba: </w:t>
      </w:r>
      <w:r w:rsidR="00A71D05" w:rsidRPr="00BC06F1">
        <w:rPr>
          <w:rFonts w:cs="Times New Roman"/>
          <w:sz w:val="22"/>
        </w:rPr>
        <w:t>Politične stranke si posamično prizadevajo še za nekatere druge ukrepe in stojijo za še drugimi usmeritvami – v tabeli prikazanih le najbolj pogostih 10.</w:t>
      </w:r>
    </w:p>
    <w:p w14:paraId="2D9027CF" w14:textId="77777777" w:rsidR="005B425C" w:rsidRPr="00BC06F1" w:rsidRDefault="005B425C" w:rsidP="006E1910">
      <w:pPr>
        <w:rPr>
          <w:rFonts w:cs="Times New Roman"/>
          <w:sz w:val="22"/>
        </w:rPr>
      </w:pPr>
    </w:p>
    <w:p w14:paraId="0E540283" w14:textId="7C5FC6C4" w:rsidR="00094037" w:rsidRPr="00BC06F1" w:rsidRDefault="005B7B77" w:rsidP="004D0E2B">
      <w:pPr>
        <w:rPr>
          <w:rFonts w:cs="Times New Roman"/>
          <w:sz w:val="22"/>
        </w:rPr>
      </w:pPr>
      <w:r w:rsidRPr="00BC06F1">
        <w:rPr>
          <w:rFonts w:cs="Times New Roman"/>
          <w:sz w:val="22"/>
        </w:rPr>
        <w:t xml:space="preserve">Spodbudno dejstvo je, da se je do premagovanja spolnih stereotipov na različne načine opredelila kar polovica političnih strank, ki so podale svoje odgovore. </w:t>
      </w:r>
      <w:r w:rsidR="00094BE8" w:rsidRPr="00BC06F1">
        <w:rPr>
          <w:rFonts w:cs="Times New Roman"/>
          <w:sz w:val="22"/>
        </w:rPr>
        <w:t xml:space="preserve">To pomeni, da se zavedajo korenin problematike in so jih tudi pripravljene naslavljati, začenši z vključevanjem slednjih v izobraževalni sistem. </w:t>
      </w:r>
      <w:r w:rsidR="001A7113" w:rsidRPr="00BC06F1">
        <w:rPr>
          <w:rFonts w:cs="Times New Roman"/>
          <w:sz w:val="22"/>
        </w:rPr>
        <w:t xml:space="preserve">Prav tako so bile v podanih odgovorih skorajda vseprisotne tudi opredelitve do spolnih kvot – ponovno se je polovica </w:t>
      </w:r>
      <w:r w:rsidR="00DA5B36" w:rsidRPr="00BC06F1">
        <w:rPr>
          <w:rFonts w:cs="Times New Roman"/>
          <w:sz w:val="22"/>
        </w:rPr>
        <w:t xml:space="preserve">analiziranih političnih strank zavzela </w:t>
      </w:r>
      <w:r w:rsidR="00B3683E" w:rsidRPr="00BC06F1">
        <w:rPr>
          <w:rFonts w:cs="Times New Roman"/>
          <w:sz w:val="22"/>
        </w:rPr>
        <w:t xml:space="preserve">ZA spolne kvote, </w:t>
      </w:r>
      <w:r w:rsidR="006B436C" w:rsidRPr="00BC06F1">
        <w:rPr>
          <w:rFonts w:cs="Times New Roman"/>
          <w:sz w:val="22"/>
        </w:rPr>
        <w:t>drug</w:t>
      </w:r>
      <w:r w:rsidR="00B3683E" w:rsidRPr="00BC06F1">
        <w:rPr>
          <w:rFonts w:cs="Times New Roman"/>
          <w:sz w:val="22"/>
        </w:rPr>
        <w:t xml:space="preserve">a polovica pa proti njihovi </w:t>
      </w:r>
      <w:r w:rsidR="006B436C" w:rsidRPr="00BC06F1">
        <w:rPr>
          <w:rFonts w:cs="Times New Roman"/>
          <w:sz w:val="22"/>
        </w:rPr>
        <w:t xml:space="preserve"> uveljavitvi v gospodarstvu in politiki</w:t>
      </w:r>
      <w:r w:rsidR="00547C2E">
        <w:rPr>
          <w:rFonts w:cs="Times New Roman"/>
          <w:sz w:val="22"/>
        </w:rPr>
        <w:t>, četudi zanje vsa</w:t>
      </w:r>
      <w:r w:rsidR="00B3683E" w:rsidRPr="00BC06F1">
        <w:rPr>
          <w:rFonts w:cs="Times New Roman"/>
          <w:sz w:val="22"/>
        </w:rPr>
        <w:t xml:space="preserve">j v politiki obstaja ustavna </w:t>
      </w:r>
      <w:r w:rsidR="00966D23">
        <w:rPr>
          <w:rFonts w:cs="Times New Roman"/>
          <w:sz w:val="22"/>
        </w:rPr>
        <w:t>podlaga</w:t>
      </w:r>
      <w:r w:rsidR="00B3683E" w:rsidRPr="00BC06F1">
        <w:rPr>
          <w:rFonts w:cs="Times New Roman"/>
          <w:sz w:val="22"/>
        </w:rPr>
        <w:t xml:space="preserve">. </w:t>
      </w:r>
      <w:r w:rsidR="006B436C" w:rsidRPr="00BC06F1">
        <w:rPr>
          <w:rFonts w:cs="Times New Roman"/>
          <w:sz w:val="22"/>
        </w:rPr>
        <w:t xml:space="preserve"> </w:t>
      </w:r>
      <w:r w:rsidR="00B3683E" w:rsidRPr="00BC06F1">
        <w:rPr>
          <w:rFonts w:cs="Times New Roman"/>
          <w:sz w:val="22"/>
        </w:rPr>
        <w:t xml:space="preserve">Nekaj </w:t>
      </w:r>
      <w:r w:rsidR="00284D61" w:rsidRPr="00BC06F1">
        <w:rPr>
          <w:rFonts w:cs="Times New Roman"/>
          <w:sz w:val="22"/>
        </w:rPr>
        <w:t>pozornosti je bilo namenjen</w:t>
      </w:r>
      <w:r w:rsidR="00B3683E" w:rsidRPr="00BC06F1">
        <w:rPr>
          <w:rFonts w:cs="Times New Roman"/>
          <w:sz w:val="22"/>
        </w:rPr>
        <w:t>o</w:t>
      </w:r>
      <w:r w:rsidR="00284D61" w:rsidRPr="00BC06F1">
        <w:rPr>
          <w:rFonts w:cs="Times New Roman"/>
          <w:sz w:val="22"/>
        </w:rPr>
        <w:t xml:space="preserve"> tudi potrebi po spodbujanju žensk </w:t>
      </w:r>
      <w:r w:rsidR="00B3683E" w:rsidRPr="00BC06F1">
        <w:rPr>
          <w:rFonts w:cs="Times New Roman"/>
          <w:sz w:val="22"/>
        </w:rPr>
        <w:t>za zase</w:t>
      </w:r>
      <w:r w:rsidR="00A40DDF" w:rsidRPr="00BC06F1">
        <w:rPr>
          <w:rFonts w:cs="Times New Roman"/>
          <w:sz w:val="22"/>
        </w:rPr>
        <w:t>d</w:t>
      </w:r>
      <w:r w:rsidR="00B3683E" w:rsidRPr="00BC06F1">
        <w:rPr>
          <w:rFonts w:cs="Times New Roman"/>
          <w:sz w:val="22"/>
        </w:rPr>
        <w:t xml:space="preserve">anje </w:t>
      </w:r>
      <w:r w:rsidR="00E54709" w:rsidRPr="00BC06F1">
        <w:rPr>
          <w:rFonts w:cs="Times New Roman"/>
          <w:sz w:val="22"/>
        </w:rPr>
        <w:t>vodilnih in odločevalskih položaj</w:t>
      </w:r>
      <w:r w:rsidR="00B3683E" w:rsidRPr="00BC06F1">
        <w:rPr>
          <w:rFonts w:cs="Times New Roman"/>
          <w:sz w:val="22"/>
        </w:rPr>
        <w:t>ev</w:t>
      </w:r>
      <w:r w:rsidR="00E54709" w:rsidRPr="00BC06F1">
        <w:rPr>
          <w:rFonts w:cs="Times New Roman"/>
          <w:sz w:val="22"/>
        </w:rPr>
        <w:t xml:space="preserve"> ter </w:t>
      </w:r>
      <w:r w:rsidR="00B3683E" w:rsidRPr="00BC06F1">
        <w:rPr>
          <w:rFonts w:cs="Times New Roman"/>
          <w:sz w:val="22"/>
        </w:rPr>
        <w:t xml:space="preserve">opozarjanje na učinke </w:t>
      </w:r>
      <w:r w:rsidR="00E54709" w:rsidRPr="00BC06F1">
        <w:rPr>
          <w:rFonts w:cs="Times New Roman"/>
          <w:sz w:val="22"/>
        </w:rPr>
        <w:t xml:space="preserve">t. i. </w:t>
      </w:r>
      <w:r w:rsidR="00966D23">
        <w:rPr>
          <w:rFonts w:cs="Times New Roman"/>
          <w:sz w:val="22"/>
        </w:rPr>
        <w:t>s</w:t>
      </w:r>
      <w:r w:rsidR="00E54709" w:rsidRPr="00BC06F1">
        <w:rPr>
          <w:rFonts w:cs="Times New Roman"/>
          <w:sz w:val="22"/>
        </w:rPr>
        <w:t>teklene</w:t>
      </w:r>
      <w:r w:rsidR="00B3683E" w:rsidRPr="00BC06F1">
        <w:rPr>
          <w:rFonts w:cs="Times New Roman"/>
          <w:sz w:val="22"/>
        </w:rPr>
        <w:t xml:space="preserve">ga </w:t>
      </w:r>
      <w:r w:rsidR="00E54709" w:rsidRPr="00BC06F1">
        <w:rPr>
          <w:rFonts w:cs="Times New Roman"/>
          <w:sz w:val="22"/>
        </w:rPr>
        <w:t>strop</w:t>
      </w:r>
      <w:r w:rsidR="00B3683E" w:rsidRPr="00BC06F1">
        <w:rPr>
          <w:rFonts w:cs="Times New Roman"/>
          <w:sz w:val="22"/>
        </w:rPr>
        <w:t>a</w:t>
      </w:r>
      <w:r w:rsidR="00E54709" w:rsidRPr="00BC06F1">
        <w:rPr>
          <w:rFonts w:cs="Times New Roman"/>
          <w:sz w:val="22"/>
        </w:rPr>
        <w:t>, ki je po mnenju nekaterih strank v Sloveniji še zmeraj</w:t>
      </w:r>
      <w:r w:rsidR="00137264" w:rsidRPr="00BC06F1">
        <w:rPr>
          <w:rFonts w:cs="Times New Roman"/>
          <w:sz w:val="22"/>
        </w:rPr>
        <w:t xml:space="preserve"> ne</w:t>
      </w:r>
      <w:r w:rsidR="00B3683E" w:rsidRPr="00BC06F1">
        <w:rPr>
          <w:rFonts w:cs="Times New Roman"/>
          <w:sz w:val="22"/>
        </w:rPr>
        <w:t>-</w:t>
      </w:r>
      <w:r w:rsidR="00137264" w:rsidRPr="00BC06F1">
        <w:rPr>
          <w:rFonts w:cs="Times New Roman"/>
          <w:sz w:val="22"/>
        </w:rPr>
        <w:t xml:space="preserve">prebit. </w:t>
      </w:r>
    </w:p>
    <w:p w14:paraId="47F1104D" w14:textId="77777777" w:rsidR="00954515" w:rsidRPr="00BC06F1" w:rsidRDefault="00954515" w:rsidP="004D0E2B">
      <w:pPr>
        <w:rPr>
          <w:rFonts w:cs="Times New Roman"/>
          <w:sz w:val="22"/>
        </w:rPr>
      </w:pPr>
    </w:p>
    <w:p w14:paraId="2F66F770" w14:textId="5A9C5949" w:rsidR="00B3683E" w:rsidRPr="00BC06F1" w:rsidRDefault="00B3683E" w:rsidP="00B3683E">
      <w:pPr>
        <w:rPr>
          <w:rFonts w:cs="Times New Roman"/>
          <w:sz w:val="22"/>
        </w:rPr>
      </w:pPr>
      <w:r w:rsidRPr="00BC06F1">
        <w:rPr>
          <w:rFonts w:cs="Times New Roman"/>
          <w:sz w:val="22"/>
        </w:rPr>
        <w:t>Iz prejetih odgovorov lahko v tem trenutku sklepamo, da stranke prav zaradi različnega razumevanj</w:t>
      </w:r>
      <w:r w:rsidR="00966D23">
        <w:rPr>
          <w:rFonts w:cs="Times New Roman"/>
          <w:sz w:val="22"/>
        </w:rPr>
        <w:t>a</w:t>
      </w:r>
      <w:r w:rsidRPr="00BC06F1">
        <w:rPr>
          <w:rFonts w:cs="Times New Roman"/>
          <w:sz w:val="22"/>
        </w:rPr>
        <w:t xml:space="preserve"> tega, kaj pomeni enakost spolov zagovarjajo tud</w:t>
      </w:r>
      <w:r w:rsidR="001839AA">
        <w:rPr>
          <w:rFonts w:cs="Times New Roman"/>
          <w:sz w:val="22"/>
        </w:rPr>
        <w:t>i različne politike na tem podro</w:t>
      </w:r>
      <w:r w:rsidRPr="00BC06F1">
        <w:rPr>
          <w:rFonts w:cs="Times New Roman"/>
          <w:sz w:val="22"/>
        </w:rPr>
        <w:t xml:space="preserve">čju.  Pri tem smo lahko opazili vzporedni </w:t>
      </w:r>
      <w:r w:rsidR="00966D23">
        <w:rPr>
          <w:rFonts w:cs="Times New Roman"/>
          <w:sz w:val="22"/>
        </w:rPr>
        <w:t xml:space="preserve">vsaj dve </w:t>
      </w:r>
      <w:r w:rsidRPr="00BC06F1">
        <w:rPr>
          <w:rFonts w:cs="Times New Roman"/>
          <w:sz w:val="22"/>
        </w:rPr>
        <w:t xml:space="preserve">doktrini – tisto, ki termin 'enakost spolov' sprejema ter ga brez težav uporablja pri snovanju ukrepov ter </w:t>
      </w:r>
      <w:r w:rsidR="00966D23">
        <w:rPr>
          <w:rFonts w:cs="Times New Roman"/>
          <w:sz w:val="22"/>
        </w:rPr>
        <w:t>tisto</w:t>
      </w:r>
      <w:r w:rsidRPr="00BC06F1">
        <w:rPr>
          <w:rFonts w:cs="Times New Roman"/>
          <w:sz w:val="22"/>
        </w:rPr>
        <w:t xml:space="preserve">, ki se na vse pretege trudi izpodbijati takšno razumevanje z argumentom, da gre pri uporabi besedne zveze 'enakost spolov' za odpravljanje 'bioloških razlik', ki pa so po njihovem </w:t>
      </w:r>
      <w:r w:rsidRPr="00BC06F1">
        <w:rPr>
          <w:rFonts w:cs="Times New Roman"/>
          <w:sz w:val="22"/>
        </w:rPr>
        <w:lastRenderedPageBreak/>
        <w:t xml:space="preserve">mnenju pomembne, potrebne in nekaj naravnega. Takšno razumevanje pa potem pri predlaganih ukrepih vodi prav v poglabljanje družbenih razlik med spoloma in utrjevanje obstoječa spolnega reda, ki temelji na moški dominaciji. </w:t>
      </w:r>
    </w:p>
    <w:p w14:paraId="7871C174" w14:textId="77777777" w:rsidR="00137264" w:rsidRPr="00BC06F1" w:rsidRDefault="00137264" w:rsidP="004D0E2B">
      <w:pPr>
        <w:rPr>
          <w:rFonts w:cs="Times New Roman"/>
          <w:sz w:val="22"/>
        </w:rPr>
      </w:pPr>
    </w:p>
    <w:p w14:paraId="3F176A37" w14:textId="0D652813" w:rsidR="000E1DBF" w:rsidRPr="00BC06F1" w:rsidRDefault="000E1DBF" w:rsidP="004D0E2B">
      <w:pPr>
        <w:rPr>
          <w:rFonts w:cs="Times New Roman"/>
          <w:sz w:val="22"/>
        </w:rPr>
      </w:pPr>
    </w:p>
    <w:sectPr w:rsidR="000E1DBF" w:rsidRPr="00BC06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B0D89" w14:textId="77777777" w:rsidR="00255298" w:rsidRDefault="00255298" w:rsidP="00742B92">
      <w:pPr>
        <w:spacing w:after="0" w:line="240" w:lineRule="auto"/>
      </w:pPr>
      <w:r>
        <w:separator/>
      </w:r>
    </w:p>
  </w:endnote>
  <w:endnote w:type="continuationSeparator" w:id="0">
    <w:p w14:paraId="2012CBC6" w14:textId="77777777" w:rsidR="00255298" w:rsidRDefault="00255298" w:rsidP="00742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C2AED" w14:textId="77777777" w:rsidR="00255298" w:rsidRDefault="00255298" w:rsidP="00742B92">
      <w:pPr>
        <w:spacing w:after="0" w:line="240" w:lineRule="auto"/>
      </w:pPr>
      <w:r>
        <w:separator/>
      </w:r>
    </w:p>
  </w:footnote>
  <w:footnote w:type="continuationSeparator" w:id="0">
    <w:p w14:paraId="1FB24039" w14:textId="77777777" w:rsidR="00255298" w:rsidRDefault="00255298" w:rsidP="00742B92">
      <w:pPr>
        <w:spacing w:after="0" w:line="240" w:lineRule="auto"/>
      </w:pPr>
      <w:r>
        <w:continuationSeparator/>
      </w:r>
    </w:p>
  </w:footnote>
  <w:footnote w:id="1">
    <w:p w14:paraId="763AA04F" w14:textId="77777777" w:rsidR="00182C4D" w:rsidRPr="00182C4D" w:rsidRDefault="00182C4D" w:rsidP="00182C4D">
      <w:pPr>
        <w:rPr>
          <w:rFonts w:cs="Times New Roman"/>
          <w:sz w:val="20"/>
          <w:szCs w:val="20"/>
        </w:rPr>
      </w:pPr>
      <w:r w:rsidRPr="00182C4D">
        <w:rPr>
          <w:rStyle w:val="Sprotnaopomba-sklic"/>
          <w:sz w:val="20"/>
          <w:szCs w:val="20"/>
        </w:rPr>
        <w:footnoteRef/>
      </w:r>
      <w:r w:rsidRPr="00182C4D">
        <w:rPr>
          <w:sz w:val="20"/>
          <w:szCs w:val="20"/>
        </w:rPr>
        <w:t xml:space="preserve"> </w:t>
      </w:r>
      <w:r w:rsidRPr="004E2BDF">
        <w:rPr>
          <w:rFonts w:cs="Times New Roman"/>
          <w:sz w:val="20"/>
          <w:szCs w:val="20"/>
        </w:rPr>
        <w:t>Odgovore na vprašanja nam je poslalo 10 od 17 analiziranih političnih strank, in sicer (stranke so razvrščene v vrstni red glede na čas prejema njihovih odgovorov): Nove Slovenije (NSi), Slovenske ljudske stranke (SLS), Stranke Alenke Bratušek (SAB), Solidarnosti, Socialnih demokratov (SD), Zedinjene Slovenije (ZS), Levice, Stranke modernega centra (SMC), Liste Marjana Šarca (LMŠ) in Liste Andreja Čuša in Zelenih Slovenije (</w:t>
      </w:r>
      <w:proofErr w:type="spellStart"/>
      <w:r w:rsidRPr="004E2BDF">
        <w:rPr>
          <w:rFonts w:cs="Times New Roman"/>
          <w:sz w:val="20"/>
          <w:szCs w:val="20"/>
        </w:rPr>
        <w:t>LAČiZS</w:t>
      </w:r>
      <w:proofErr w:type="spellEnd"/>
      <w:r w:rsidRPr="004E2BDF">
        <w:rPr>
          <w:rFonts w:cs="Times New Roman"/>
          <w:sz w:val="20"/>
          <w:szCs w:val="20"/>
        </w:rPr>
        <w:t>), ne pa tudi od Slovenske demokratske stranke (SDS) in Demokratične stranke upokojencev Slovenije (DeSUS).</w:t>
      </w:r>
    </w:p>
    <w:p w14:paraId="57FB9534" w14:textId="0052740C" w:rsidR="00182C4D" w:rsidRDefault="00182C4D">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14E56"/>
    <w:multiLevelType w:val="hybridMultilevel"/>
    <w:tmpl w:val="F0CAF6B6"/>
    <w:lvl w:ilvl="0" w:tplc="1A50F6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SwMDewNLI0NzY0NjNR0lEKTi0uzszPAykwrAUAcN/eCSwAAAA="/>
  </w:docVars>
  <w:rsids>
    <w:rsidRoot w:val="004D0E2B"/>
    <w:rsid w:val="000859F4"/>
    <w:rsid w:val="00094037"/>
    <w:rsid w:val="00094BE8"/>
    <w:rsid w:val="00094F2E"/>
    <w:rsid w:val="000A454C"/>
    <w:rsid w:val="000D766E"/>
    <w:rsid w:val="000E1DBF"/>
    <w:rsid w:val="001006C8"/>
    <w:rsid w:val="00137264"/>
    <w:rsid w:val="001423F4"/>
    <w:rsid w:val="001507DB"/>
    <w:rsid w:val="00182C4D"/>
    <w:rsid w:val="001839AA"/>
    <w:rsid w:val="001A7113"/>
    <w:rsid w:val="001E735D"/>
    <w:rsid w:val="00223749"/>
    <w:rsid w:val="00255298"/>
    <w:rsid w:val="002729CB"/>
    <w:rsid w:val="00284D61"/>
    <w:rsid w:val="00294831"/>
    <w:rsid w:val="002C694E"/>
    <w:rsid w:val="00307A85"/>
    <w:rsid w:val="00372634"/>
    <w:rsid w:val="00392DE5"/>
    <w:rsid w:val="003D3276"/>
    <w:rsid w:val="003E63A9"/>
    <w:rsid w:val="00405B8C"/>
    <w:rsid w:val="0046602A"/>
    <w:rsid w:val="0048429C"/>
    <w:rsid w:val="0049660D"/>
    <w:rsid w:val="004D0E2B"/>
    <w:rsid w:val="004D10B2"/>
    <w:rsid w:val="004E2BDF"/>
    <w:rsid w:val="004F40B9"/>
    <w:rsid w:val="005070DB"/>
    <w:rsid w:val="0054601B"/>
    <w:rsid w:val="00547C2E"/>
    <w:rsid w:val="00565BDE"/>
    <w:rsid w:val="005B425C"/>
    <w:rsid w:val="005B7B77"/>
    <w:rsid w:val="005D1EAF"/>
    <w:rsid w:val="00636B7E"/>
    <w:rsid w:val="006408ED"/>
    <w:rsid w:val="00646F03"/>
    <w:rsid w:val="00660341"/>
    <w:rsid w:val="00677884"/>
    <w:rsid w:val="006B436C"/>
    <w:rsid w:val="006E1910"/>
    <w:rsid w:val="0072383E"/>
    <w:rsid w:val="00742B92"/>
    <w:rsid w:val="007925FF"/>
    <w:rsid w:val="007C3205"/>
    <w:rsid w:val="007D0230"/>
    <w:rsid w:val="007D0686"/>
    <w:rsid w:val="007F7C07"/>
    <w:rsid w:val="008134AC"/>
    <w:rsid w:val="00851CCA"/>
    <w:rsid w:val="00866997"/>
    <w:rsid w:val="008A0CE1"/>
    <w:rsid w:val="008B1CF8"/>
    <w:rsid w:val="008C44CA"/>
    <w:rsid w:val="00952E91"/>
    <w:rsid w:val="00954515"/>
    <w:rsid w:val="00966D23"/>
    <w:rsid w:val="009B2967"/>
    <w:rsid w:val="00A164B3"/>
    <w:rsid w:val="00A36843"/>
    <w:rsid w:val="00A40DDF"/>
    <w:rsid w:val="00A46244"/>
    <w:rsid w:val="00A71D05"/>
    <w:rsid w:val="00A74979"/>
    <w:rsid w:val="00AE0D30"/>
    <w:rsid w:val="00B3683E"/>
    <w:rsid w:val="00B5659C"/>
    <w:rsid w:val="00B71E89"/>
    <w:rsid w:val="00B83326"/>
    <w:rsid w:val="00B87BB0"/>
    <w:rsid w:val="00BC06F1"/>
    <w:rsid w:val="00BC7EAF"/>
    <w:rsid w:val="00C06225"/>
    <w:rsid w:val="00C43F00"/>
    <w:rsid w:val="00C53F6B"/>
    <w:rsid w:val="00C812B6"/>
    <w:rsid w:val="00C82EE2"/>
    <w:rsid w:val="00CF177E"/>
    <w:rsid w:val="00DA065E"/>
    <w:rsid w:val="00DA5B36"/>
    <w:rsid w:val="00E0743D"/>
    <w:rsid w:val="00E4043B"/>
    <w:rsid w:val="00E54709"/>
    <w:rsid w:val="00EA3464"/>
    <w:rsid w:val="00F84A44"/>
    <w:rsid w:val="00FF7D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C60CF"/>
  <w15:chartTrackingRefBased/>
  <w15:docId w15:val="{77B81EAF-0A12-45DA-BA91-165E7B3C6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E63A9"/>
    <w:pPr>
      <w:spacing w:after="40"/>
      <w:jc w:val="both"/>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D0E2B"/>
    <w:pPr>
      <w:ind w:left="720"/>
      <w:contextualSpacing/>
    </w:pPr>
  </w:style>
  <w:style w:type="table" w:styleId="Tabelamrea">
    <w:name w:val="Table Grid"/>
    <w:basedOn w:val="Navadnatabela"/>
    <w:uiPriority w:val="39"/>
    <w:rsid w:val="00952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7C3205"/>
    <w:rPr>
      <w:sz w:val="16"/>
      <w:szCs w:val="16"/>
    </w:rPr>
  </w:style>
  <w:style w:type="paragraph" w:styleId="Pripombabesedilo">
    <w:name w:val="annotation text"/>
    <w:basedOn w:val="Navaden"/>
    <w:link w:val="PripombabesediloZnak"/>
    <w:uiPriority w:val="99"/>
    <w:semiHidden/>
    <w:unhideWhenUsed/>
    <w:rsid w:val="007C320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C3205"/>
    <w:rPr>
      <w:rFonts w:ascii="Times New Roman" w:hAnsi="Times New Roman"/>
      <w:sz w:val="20"/>
      <w:szCs w:val="20"/>
    </w:rPr>
  </w:style>
  <w:style w:type="paragraph" w:styleId="Zadevapripombe">
    <w:name w:val="annotation subject"/>
    <w:basedOn w:val="Pripombabesedilo"/>
    <w:next w:val="Pripombabesedilo"/>
    <w:link w:val="ZadevapripombeZnak"/>
    <w:uiPriority w:val="99"/>
    <w:semiHidden/>
    <w:unhideWhenUsed/>
    <w:rsid w:val="007C3205"/>
    <w:rPr>
      <w:b/>
      <w:bCs/>
    </w:rPr>
  </w:style>
  <w:style w:type="character" w:customStyle="1" w:styleId="ZadevapripombeZnak">
    <w:name w:val="Zadeva pripombe Znak"/>
    <w:basedOn w:val="PripombabesediloZnak"/>
    <w:link w:val="Zadevapripombe"/>
    <w:uiPriority w:val="99"/>
    <w:semiHidden/>
    <w:rsid w:val="007C3205"/>
    <w:rPr>
      <w:rFonts w:ascii="Times New Roman" w:hAnsi="Times New Roman"/>
      <w:b/>
      <w:bCs/>
      <w:sz w:val="20"/>
      <w:szCs w:val="20"/>
    </w:rPr>
  </w:style>
  <w:style w:type="paragraph" w:styleId="Besedilooblaka">
    <w:name w:val="Balloon Text"/>
    <w:basedOn w:val="Navaden"/>
    <w:link w:val="BesedilooblakaZnak"/>
    <w:uiPriority w:val="99"/>
    <w:semiHidden/>
    <w:unhideWhenUsed/>
    <w:rsid w:val="007C320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C3205"/>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742B92"/>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42B92"/>
    <w:rPr>
      <w:rFonts w:ascii="Times New Roman" w:hAnsi="Times New Roman"/>
      <w:sz w:val="20"/>
      <w:szCs w:val="20"/>
    </w:rPr>
  </w:style>
  <w:style w:type="character" w:styleId="Sprotnaopomba-sklic">
    <w:name w:val="footnote reference"/>
    <w:basedOn w:val="Privzetapisavaodstavka"/>
    <w:uiPriority w:val="99"/>
    <w:semiHidden/>
    <w:unhideWhenUsed/>
    <w:rsid w:val="00742B92"/>
    <w:rPr>
      <w:vertAlign w:val="superscript"/>
    </w:rPr>
  </w:style>
  <w:style w:type="character" w:styleId="Hiperpovezava">
    <w:name w:val="Hyperlink"/>
    <w:basedOn w:val="Privzetapisavaodstavka"/>
    <w:uiPriority w:val="99"/>
    <w:unhideWhenUsed/>
    <w:rsid w:val="00742B92"/>
    <w:rPr>
      <w:color w:val="0563C1" w:themeColor="hyperlink"/>
      <w:u w:val="single"/>
    </w:rPr>
  </w:style>
  <w:style w:type="paragraph" w:styleId="Revizija">
    <w:name w:val="Revision"/>
    <w:hidden/>
    <w:uiPriority w:val="99"/>
    <w:semiHidden/>
    <w:rsid w:val="00A40DD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0993F1-373C-4A7A-B03D-FDF695BC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802</Words>
  <Characters>4577</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Primorac</dc:creator>
  <cp:keywords/>
  <dc:description/>
  <cp:lastModifiedBy>Kaja Primorac</cp:lastModifiedBy>
  <cp:revision>3</cp:revision>
  <dcterms:created xsi:type="dcterms:W3CDTF">2018-05-28T09:50:00Z</dcterms:created>
  <dcterms:modified xsi:type="dcterms:W3CDTF">2018-05-28T10:26:00Z</dcterms:modified>
</cp:coreProperties>
</file>